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2FB" w:rsidRPr="00D912FB" w:rsidRDefault="00085845" w:rsidP="00D912FB">
      <w:pPr>
        <w:jc w:val="left"/>
        <w:rPr>
          <w:rFonts w:ascii="黑体" w:eastAsia="黑体" w:hAnsi="黑体" w:cs="Times New Roman" w:hint="eastAsia"/>
          <w:sz w:val="30"/>
          <w:szCs w:val="30"/>
        </w:rPr>
      </w:pPr>
      <w:r w:rsidRPr="00D912FB">
        <w:rPr>
          <w:rFonts w:ascii="黑体" w:eastAsia="黑体" w:hAnsi="黑体" w:cs="Times New Roman"/>
          <w:sz w:val="30"/>
          <w:szCs w:val="30"/>
        </w:rPr>
        <w:t>附件</w:t>
      </w:r>
      <w:r w:rsidRPr="00D912FB">
        <w:rPr>
          <w:rFonts w:ascii="黑体" w:eastAsia="黑体" w:hAnsi="黑体" w:cs="Times New Roman"/>
          <w:sz w:val="30"/>
          <w:szCs w:val="30"/>
        </w:rPr>
        <w:t xml:space="preserve">4  </w:t>
      </w:r>
    </w:p>
    <w:p w:rsidR="004478F1" w:rsidRPr="00085845" w:rsidRDefault="00085845" w:rsidP="00085845">
      <w:pPr>
        <w:jc w:val="center"/>
        <w:rPr>
          <w:rFonts w:ascii="方正小标宋简体" w:eastAsia="方正小标宋简体" w:hAnsi="Times New Roman" w:cs="Times New Roman" w:hint="eastAsia"/>
          <w:sz w:val="32"/>
        </w:rPr>
      </w:pPr>
      <w:r w:rsidRPr="00085845">
        <w:rPr>
          <w:rFonts w:ascii="方正小标宋简体" w:eastAsia="方正小标宋简体" w:hAnsi="Times New Roman" w:cs="Times New Roman" w:hint="eastAsia"/>
          <w:sz w:val="32"/>
        </w:rPr>
        <w:t>艺术类原创作品成果级别认定办法</w:t>
      </w:r>
    </w:p>
    <w:p w:rsidR="00085845" w:rsidRPr="00085845" w:rsidRDefault="00085845" w:rsidP="00085845">
      <w:pPr>
        <w:jc w:val="center"/>
        <w:rPr>
          <w:rFonts w:ascii="Times New Roman" w:eastAsia="黑体" w:hAnsi="Times New Roman" w:cs="Times New Roman"/>
          <w:b/>
          <w:sz w:val="32"/>
        </w:rPr>
      </w:pPr>
    </w:p>
    <w:p w:rsidR="004478F1" w:rsidRPr="00085845" w:rsidRDefault="00085845" w:rsidP="00085845">
      <w:pPr>
        <w:spacing w:line="360" w:lineRule="auto"/>
        <w:ind w:firstLineChars="200" w:firstLine="600"/>
        <w:rPr>
          <w:rFonts w:ascii="Times New Roman" w:eastAsia="黑体" w:hAnsi="Times New Roman" w:cs="Times New Roman"/>
          <w:sz w:val="30"/>
          <w:szCs w:val="30"/>
        </w:rPr>
      </w:pPr>
      <w:r w:rsidRPr="00085845">
        <w:rPr>
          <w:rFonts w:ascii="Times New Roman" w:eastAsia="黑体" w:hAnsi="Times New Roman" w:cs="Times New Roman"/>
          <w:sz w:val="30"/>
          <w:szCs w:val="30"/>
        </w:rPr>
        <w:t>一、艺术类赛事获奖的认定</w:t>
      </w:r>
    </w:p>
    <w:p w:rsidR="004478F1" w:rsidRDefault="00085845">
      <w:pPr>
        <w:pStyle w:val="Bodytext1"/>
        <w:numPr>
          <w:ilvl w:val="0"/>
          <w:numId w:val="1"/>
        </w:numPr>
        <w:tabs>
          <w:tab w:val="left" w:pos="720"/>
        </w:tabs>
        <w:spacing w:line="563" w:lineRule="exact"/>
        <w:ind w:firstLine="480"/>
        <w:rPr>
          <w:rFonts w:ascii="Times New Roman" w:eastAsia="仿宋" w:hAnsi="Times New Roman" w:cs="Times New Roman"/>
          <w:lang w:val="en-US" w:eastAsia="zh-CN" w:bidi="ar-SA"/>
        </w:rPr>
      </w:pPr>
      <w:bookmarkStart w:id="0" w:name="bookmark23"/>
      <w:bookmarkEnd w:id="0"/>
      <w:r>
        <w:rPr>
          <w:rFonts w:ascii="Times New Roman" w:eastAsia="仿宋" w:hAnsi="Times New Roman" w:cs="Times New Roman"/>
          <w:lang w:val="en-US" w:eastAsia="zh-CN" w:bidi="ar-SA"/>
        </w:rPr>
        <w:t>国家</w:t>
      </w:r>
      <w:r>
        <w:rPr>
          <w:rFonts w:ascii="Times New Roman" w:eastAsia="仿宋" w:hAnsi="Times New Roman" w:cs="Times New Roman"/>
          <w:lang w:val="en-US" w:eastAsia="zh-CN" w:bidi="ar-SA"/>
        </w:rPr>
        <w:t>A</w:t>
      </w:r>
      <w:r>
        <w:rPr>
          <w:rFonts w:ascii="Times New Roman" w:eastAsia="仿宋" w:hAnsi="Times New Roman" w:cs="Times New Roman"/>
          <w:lang w:val="en-US" w:eastAsia="zh-CN" w:bidi="ar-SA"/>
        </w:rPr>
        <w:t>级比赛指中宣部或</w:t>
      </w:r>
      <w:r>
        <w:rPr>
          <w:rFonts w:ascii="Times New Roman" w:eastAsia="仿宋" w:hAnsi="Times New Roman" w:cs="Times New Roman" w:hint="eastAsia"/>
          <w:lang w:val="en-US" w:eastAsia="zh-CN" w:bidi="ar-SA"/>
        </w:rPr>
        <w:t>文旅部</w:t>
      </w:r>
      <w:r>
        <w:rPr>
          <w:rFonts w:ascii="Times New Roman" w:eastAsia="仿宋" w:hAnsi="Times New Roman" w:cs="Times New Roman"/>
          <w:lang w:val="en-US" w:eastAsia="zh-CN" w:bidi="ar-SA"/>
        </w:rPr>
        <w:t>等政府部门定期举办的各类比赛活动（包括五个</w:t>
      </w:r>
      <w:proofErr w:type="gramStart"/>
      <w:r>
        <w:rPr>
          <w:rFonts w:ascii="Times New Roman" w:eastAsia="仿宋" w:hAnsi="Times New Roman" w:cs="Times New Roman"/>
          <w:lang w:val="en-US" w:eastAsia="zh-CN" w:bidi="ar-SA"/>
        </w:rPr>
        <w:t>一</w:t>
      </w:r>
      <w:proofErr w:type="gramEnd"/>
      <w:r>
        <w:rPr>
          <w:rFonts w:ascii="Times New Roman" w:eastAsia="仿宋" w:hAnsi="Times New Roman" w:cs="Times New Roman"/>
          <w:lang w:val="en-US" w:eastAsia="zh-CN" w:bidi="ar-SA"/>
        </w:rPr>
        <w:t>工程奖、中国文化艺术政府奖）。</w:t>
      </w:r>
    </w:p>
    <w:p w:rsidR="004478F1" w:rsidRDefault="00085845">
      <w:pPr>
        <w:pStyle w:val="Bodytext1"/>
        <w:numPr>
          <w:ilvl w:val="0"/>
          <w:numId w:val="1"/>
        </w:numPr>
        <w:tabs>
          <w:tab w:val="left" w:pos="720"/>
        </w:tabs>
        <w:spacing w:line="563" w:lineRule="exact"/>
        <w:ind w:firstLineChars="160" w:firstLine="480"/>
        <w:rPr>
          <w:rFonts w:ascii="Times New Roman" w:eastAsia="仿宋" w:hAnsi="Times New Roman" w:cs="Times New Roman"/>
          <w:lang w:val="en-US" w:eastAsia="zh-CN" w:bidi="ar-SA"/>
        </w:rPr>
      </w:pPr>
      <w:r>
        <w:rPr>
          <w:rFonts w:ascii="Times New Roman" w:eastAsia="仿宋" w:hAnsi="Times New Roman" w:cs="Times New Roman"/>
          <w:lang w:val="en-US" w:eastAsia="zh-CN" w:bidi="ar-SA"/>
        </w:rPr>
        <w:t>国家</w:t>
      </w:r>
      <w:r>
        <w:rPr>
          <w:rFonts w:ascii="Times New Roman" w:eastAsia="仿宋" w:hAnsi="Times New Roman" w:cs="Times New Roman"/>
          <w:lang w:val="en-US" w:eastAsia="zh-CN" w:bidi="ar-SA"/>
        </w:rPr>
        <w:t>B</w:t>
      </w:r>
      <w:r>
        <w:rPr>
          <w:rFonts w:ascii="Times New Roman" w:eastAsia="仿宋" w:hAnsi="Times New Roman" w:cs="Times New Roman"/>
          <w:lang w:val="en-US" w:eastAsia="zh-CN" w:bidi="ar-SA"/>
        </w:rPr>
        <w:t>级比赛指</w:t>
      </w:r>
      <w:r>
        <w:rPr>
          <w:rFonts w:ascii="Times New Roman" w:eastAsia="仿宋" w:hAnsi="Times New Roman" w:cs="Times New Roman" w:hint="eastAsia"/>
          <w:lang w:val="en-US" w:eastAsia="zh-CN" w:bidi="ar-SA"/>
        </w:rPr>
        <w:t>文旅部</w:t>
      </w:r>
      <w:r>
        <w:rPr>
          <w:rFonts w:ascii="Times New Roman" w:eastAsia="仿宋" w:hAnsi="Times New Roman" w:cs="Times New Roman"/>
          <w:lang w:val="en-US" w:eastAsia="zh-CN" w:bidi="ar-SA"/>
        </w:rPr>
        <w:t>、教育部、团中央、中国文联（含下属文艺家协会）、国家新闻出版广电总局等政府部门定期举办的全国性比赛活动（包括</w:t>
      </w:r>
      <w:proofErr w:type="gramStart"/>
      <w:r>
        <w:rPr>
          <w:rFonts w:ascii="Times New Roman" w:eastAsia="仿宋" w:hAnsi="Times New Roman" w:cs="Times New Roman"/>
          <w:lang w:val="en-US" w:eastAsia="zh-CN" w:bidi="ar-SA"/>
        </w:rPr>
        <w:t>音乐金</w:t>
      </w:r>
      <w:proofErr w:type="gramEnd"/>
      <w:r>
        <w:rPr>
          <w:rFonts w:ascii="Times New Roman" w:eastAsia="仿宋" w:hAnsi="Times New Roman" w:cs="Times New Roman"/>
          <w:lang w:val="en-US" w:eastAsia="zh-CN" w:bidi="ar-SA"/>
        </w:rPr>
        <w:t>钟奖、全国美术展览奖、舞蹈荷花奖、电视金鹰奖、茅盾文学奖、摄影金像奖等）。</w:t>
      </w:r>
    </w:p>
    <w:p w:rsidR="004478F1" w:rsidRDefault="00085845">
      <w:pPr>
        <w:pStyle w:val="Bodytext1"/>
        <w:numPr>
          <w:ilvl w:val="0"/>
          <w:numId w:val="1"/>
        </w:numPr>
        <w:tabs>
          <w:tab w:val="left" w:pos="720"/>
        </w:tabs>
        <w:spacing w:line="563" w:lineRule="exact"/>
        <w:ind w:firstLine="480"/>
        <w:rPr>
          <w:rFonts w:ascii="Times New Roman" w:eastAsia="仿宋" w:hAnsi="Times New Roman" w:cs="Times New Roman"/>
          <w:lang w:val="en-US" w:eastAsia="zh-CN" w:bidi="ar-SA"/>
        </w:rPr>
      </w:pPr>
      <w:r>
        <w:rPr>
          <w:rFonts w:ascii="Times New Roman" w:eastAsia="仿宋" w:hAnsi="Times New Roman" w:cs="Times New Roman"/>
          <w:lang w:val="en-US" w:eastAsia="zh-CN" w:bidi="ar-SA"/>
        </w:rPr>
        <w:t>省部</w:t>
      </w:r>
      <w:r>
        <w:rPr>
          <w:rFonts w:ascii="Times New Roman" w:eastAsia="仿宋" w:hAnsi="Times New Roman" w:cs="Times New Roman"/>
          <w:lang w:val="en-US" w:eastAsia="zh-CN" w:bidi="ar-SA"/>
        </w:rPr>
        <w:t>A</w:t>
      </w:r>
      <w:r>
        <w:rPr>
          <w:rFonts w:ascii="Times New Roman" w:eastAsia="仿宋" w:hAnsi="Times New Roman" w:cs="Times New Roman"/>
          <w:lang w:val="en-US" w:eastAsia="zh-CN" w:bidi="ar-SA"/>
        </w:rPr>
        <w:t>级比赛指</w:t>
      </w:r>
      <w:r>
        <w:rPr>
          <w:rFonts w:ascii="Times New Roman" w:eastAsia="仿宋" w:hAnsi="Times New Roman" w:cs="Times New Roman" w:hint="eastAsia"/>
          <w:lang w:val="en-US" w:eastAsia="zh-CN" w:bidi="ar-SA"/>
        </w:rPr>
        <w:t>文旅部</w:t>
      </w:r>
      <w:r>
        <w:rPr>
          <w:rFonts w:ascii="Times New Roman" w:eastAsia="仿宋" w:hAnsi="Times New Roman" w:cs="Times New Roman"/>
          <w:lang w:val="en-US" w:eastAsia="zh-CN" w:bidi="ar-SA"/>
        </w:rPr>
        <w:t>、教育部、团中央、中国文联（含下属文艺家协会）、国家新闻出版广电总局等部门不定期举办的全国性比赛活动，或由省委宣传部、团省委、教育厅、省文联定期举办的各类比赛活动。</w:t>
      </w:r>
    </w:p>
    <w:p w:rsidR="004478F1" w:rsidRDefault="00085845">
      <w:pPr>
        <w:pStyle w:val="Bodytext1"/>
        <w:numPr>
          <w:ilvl w:val="0"/>
          <w:numId w:val="1"/>
        </w:numPr>
        <w:tabs>
          <w:tab w:val="left" w:pos="720"/>
        </w:tabs>
        <w:spacing w:line="563" w:lineRule="exact"/>
        <w:ind w:firstLineChars="160" w:firstLine="480"/>
        <w:rPr>
          <w:rFonts w:ascii="Times New Roman" w:eastAsia="仿宋" w:hAnsi="Times New Roman" w:cs="Times New Roman"/>
          <w:lang w:val="en-US" w:eastAsia="zh-CN" w:bidi="ar-SA"/>
        </w:rPr>
      </w:pPr>
      <w:r>
        <w:rPr>
          <w:rFonts w:ascii="Times New Roman" w:eastAsia="仿宋" w:hAnsi="Times New Roman" w:cs="Times New Roman"/>
          <w:lang w:val="en-US" w:eastAsia="zh-CN" w:bidi="ar-SA"/>
        </w:rPr>
        <w:t>省部</w:t>
      </w:r>
      <w:r>
        <w:rPr>
          <w:rFonts w:ascii="Times New Roman" w:eastAsia="仿宋" w:hAnsi="Times New Roman" w:cs="Times New Roman"/>
          <w:lang w:val="en-US" w:eastAsia="zh-CN" w:bidi="ar-SA"/>
        </w:rPr>
        <w:t>B</w:t>
      </w:r>
      <w:r>
        <w:rPr>
          <w:rFonts w:ascii="Times New Roman" w:eastAsia="仿宋" w:hAnsi="Times New Roman" w:cs="Times New Roman"/>
          <w:lang w:val="en-US" w:eastAsia="zh-CN" w:bidi="ar-SA"/>
        </w:rPr>
        <w:t>级比赛指省级文联（含下属文艺家协会）定期举办的各类奖励活动。委办局级比赛指委办</w:t>
      </w:r>
      <w:proofErr w:type="gramStart"/>
      <w:r>
        <w:rPr>
          <w:rFonts w:ascii="Times New Roman" w:eastAsia="仿宋" w:hAnsi="Times New Roman" w:cs="Times New Roman"/>
          <w:lang w:val="en-US" w:eastAsia="zh-CN" w:bidi="ar-SA"/>
        </w:rPr>
        <w:t>局级政府</w:t>
      </w:r>
      <w:proofErr w:type="gramEnd"/>
      <w:r>
        <w:rPr>
          <w:rFonts w:ascii="Times New Roman" w:eastAsia="仿宋" w:hAnsi="Times New Roman" w:cs="Times New Roman"/>
          <w:lang w:val="en-US" w:eastAsia="zh-CN" w:bidi="ar-SA"/>
        </w:rPr>
        <w:t>部门定期举办、省级文联（含下属文艺家协会）不定期举办的各类比赛活动。</w:t>
      </w:r>
    </w:p>
    <w:p w:rsidR="004478F1" w:rsidRDefault="00085845">
      <w:pPr>
        <w:pStyle w:val="Bodytext1"/>
        <w:numPr>
          <w:ilvl w:val="0"/>
          <w:numId w:val="1"/>
        </w:numPr>
        <w:tabs>
          <w:tab w:val="left" w:pos="720"/>
        </w:tabs>
        <w:spacing w:line="563" w:lineRule="exact"/>
        <w:ind w:firstLineChars="160" w:firstLine="480"/>
        <w:rPr>
          <w:rFonts w:ascii="Times New Roman" w:eastAsia="仿宋" w:hAnsi="Times New Roman" w:cs="Times New Roman"/>
          <w:lang w:val="en-US" w:eastAsia="zh-CN" w:bidi="ar-SA"/>
        </w:rPr>
      </w:pPr>
      <w:r>
        <w:rPr>
          <w:rFonts w:ascii="Times New Roman" w:eastAsia="仿宋" w:hAnsi="Times New Roman" w:cs="Times New Roman"/>
          <w:lang w:val="en-US" w:eastAsia="zh-CN" w:bidi="ar-SA"/>
        </w:rPr>
        <w:t>其他未列入上述条目的各行业分会所举办的各类比赛参照相应级别降一级进行成果级别认定。</w:t>
      </w:r>
    </w:p>
    <w:p w:rsidR="004478F1" w:rsidRPr="00085845" w:rsidRDefault="00085845" w:rsidP="00085845">
      <w:pPr>
        <w:spacing w:line="360" w:lineRule="auto"/>
        <w:ind w:firstLineChars="200" w:firstLine="600"/>
        <w:rPr>
          <w:rFonts w:ascii="Times New Roman" w:eastAsia="黑体" w:hAnsi="Times New Roman" w:cs="Times New Roman"/>
          <w:sz w:val="30"/>
          <w:szCs w:val="30"/>
        </w:rPr>
      </w:pPr>
      <w:bookmarkStart w:id="1" w:name="bookmark24"/>
      <w:bookmarkEnd w:id="1"/>
      <w:r w:rsidRPr="00085845">
        <w:rPr>
          <w:rFonts w:ascii="Times New Roman" w:eastAsia="黑体" w:hAnsi="Times New Roman" w:cs="Times New Roman"/>
          <w:sz w:val="30"/>
          <w:szCs w:val="30"/>
        </w:rPr>
        <w:t>二、参展、参演、传播、收藏原创作品的分类</w:t>
      </w:r>
    </w:p>
    <w:p w:rsidR="004478F1" w:rsidRDefault="00085845">
      <w:pPr>
        <w:pStyle w:val="Bodytext1"/>
        <w:spacing w:line="557" w:lineRule="exact"/>
        <w:ind w:firstLineChars="160" w:firstLine="480"/>
        <w:rPr>
          <w:rFonts w:ascii="Times New Roman" w:eastAsia="仿宋" w:hAnsi="Times New Roman" w:cs="Times New Roman"/>
          <w:lang w:val="en-US" w:eastAsia="zh-CN" w:bidi="ar-SA"/>
        </w:rPr>
      </w:pPr>
      <w:r>
        <w:rPr>
          <w:rFonts w:ascii="Times New Roman" w:eastAsia="仿宋" w:hAnsi="Times New Roman" w:cs="Times New Roman"/>
          <w:lang w:val="en-US" w:eastAsia="zh-CN" w:bidi="ar-SA"/>
        </w:rPr>
        <w:t xml:space="preserve">1. </w:t>
      </w:r>
      <w:r>
        <w:rPr>
          <w:rFonts w:ascii="Times New Roman" w:eastAsia="仿宋" w:hAnsi="Times New Roman" w:cs="Times New Roman"/>
          <w:lang w:val="en-US" w:eastAsia="zh-CN" w:bidi="ar-SA"/>
        </w:rPr>
        <w:t>音体舞美原创作品在中宣部、国家广电总局、文旅部及其直</w:t>
      </w:r>
      <w:r>
        <w:rPr>
          <w:rFonts w:ascii="Times New Roman" w:eastAsia="仿宋" w:hAnsi="Times New Roman" w:cs="Times New Roman"/>
          <w:lang w:val="en-US" w:eastAsia="zh-CN" w:bidi="ar-SA"/>
        </w:rPr>
        <w:t>属媒体汇演、调演，或被国际知名博物馆、艺术馆收藏，视为国家</w:t>
      </w:r>
      <w:r>
        <w:rPr>
          <w:rFonts w:ascii="Times New Roman" w:eastAsia="仿宋" w:hAnsi="Times New Roman" w:cs="Times New Roman"/>
          <w:lang w:val="en-US" w:eastAsia="zh-CN" w:bidi="ar-SA"/>
        </w:rPr>
        <w:t>B</w:t>
      </w:r>
      <w:r>
        <w:rPr>
          <w:rFonts w:ascii="Times New Roman" w:eastAsia="仿宋" w:hAnsi="Times New Roman" w:cs="Times New Roman"/>
          <w:lang w:val="en-US" w:eastAsia="zh-CN" w:bidi="ar-SA"/>
        </w:rPr>
        <w:t>级金奖或一等奖；省级文化和旅游主管部门、省级广播电视主管部门及其直属媒体进行汇演、调演，或被国家博物馆收藏，</w:t>
      </w:r>
      <w:r>
        <w:rPr>
          <w:rFonts w:ascii="Times New Roman" w:eastAsia="仿宋" w:hAnsi="Times New Roman" w:cs="Times New Roman"/>
          <w:lang w:val="en-US" w:eastAsia="zh-CN" w:bidi="ar-SA"/>
        </w:rPr>
        <w:lastRenderedPageBreak/>
        <w:t>视为省部</w:t>
      </w:r>
      <w:r>
        <w:rPr>
          <w:rFonts w:ascii="Times New Roman" w:eastAsia="仿宋" w:hAnsi="Times New Roman" w:cs="Times New Roman"/>
          <w:lang w:val="en-US" w:eastAsia="zh-CN" w:bidi="ar-SA"/>
        </w:rPr>
        <w:t>B</w:t>
      </w:r>
      <w:r>
        <w:rPr>
          <w:rFonts w:ascii="Times New Roman" w:eastAsia="仿宋" w:hAnsi="Times New Roman" w:cs="Times New Roman"/>
          <w:lang w:val="en-US" w:eastAsia="zh-CN" w:bidi="ar-SA"/>
        </w:rPr>
        <w:t>级金奖或一等奖；其他参展、汇演、调演等未进行等级评定的参照委办局级银奖或二等奖执行。</w:t>
      </w:r>
    </w:p>
    <w:p w:rsidR="004478F1" w:rsidRDefault="00085845">
      <w:pPr>
        <w:pStyle w:val="Bodytext1"/>
        <w:spacing w:line="564" w:lineRule="exact"/>
        <w:ind w:firstLineChars="160" w:firstLine="480"/>
        <w:rPr>
          <w:rFonts w:ascii="Times New Roman" w:eastAsia="仿宋" w:hAnsi="Times New Roman" w:cs="Times New Roman"/>
          <w:lang w:val="en-US" w:eastAsia="zh-CN" w:bidi="ar-SA"/>
        </w:rPr>
      </w:pPr>
      <w:r>
        <w:rPr>
          <w:rFonts w:ascii="Times New Roman" w:eastAsia="仿宋" w:hAnsi="Times New Roman" w:cs="Times New Roman"/>
          <w:lang w:val="en-US" w:eastAsia="zh-CN" w:bidi="ar-SA"/>
        </w:rPr>
        <w:t xml:space="preserve">2. </w:t>
      </w:r>
      <w:r>
        <w:rPr>
          <w:rFonts w:ascii="Times New Roman" w:eastAsia="仿宋" w:hAnsi="Times New Roman" w:cs="Times New Roman"/>
          <w:lang w:val="en-US" w:eastAsia="zh-CN" w:bidi="ar-SA"/>
        </w:rPr>
        <w:t>作品传播由校学术委员会按播出平台及播出时</w:t>
      </w:r>
      <w:proofErr w:type="gramStart"/>
      <w:r>
        <w:rPr>
          <w:rFonts w:ascii="Times New Roman" w:eastAsia="仿宋" w:hAnsi="Times New Roman" w:cs="Times New Roman"/>
          <w:lang w:val="en-US" w:eastAsia="zh-CN" w:bidi="ar-SA"/>
        </w:rPr>
        <w:t>长综合</w:t>
      </w:r>
      <w:proofErr w:type="gramEnd"/>
      <w:r>
        <w:rPr>
          <w:rFonts w:ascii="Times New Roman" w:eastAsia="仿宋" w:hAnsi="Times New Roman" w:cs="Times New Roman"/>
          <w:lang w:val="en-US" w:eastAsia="zh-CN" w:bidi="ar-SA"/>
        </w:rPr>
        <w:t>审定相应等级。国家级指中央电视台各频道（中国教育台除外），省级分上星频道和不上星频道两个等级，以及有一定规模或影响力的新媒体播出平台。时长分</w:t>
      </w:r>
      <w:r>
        <w:rPr>
          <w:rFonts w:ascii="Times New Roman" w:eastAsia="仿宋" w:hAnsi="Times New Roman" w:cs="Times New Roman"/>
          <w:lang w:val="en-US" w:eastAsia="zh-CN" w:bidi="ar-SA"/>
        </w:rPr>
        <w:t>30</w:t>
      </w:r>
      <w:r>
        <w:rPr>
          <w:rFonts w:ascii="Times New Roman" w:eastAsia="仿宋" w:hAnsi="Times New Roman" w:cs="Times New Roman"/>
          <w:lang w:val="en-US" w:eastAsia="zh-CN" w:bidi="ar-SA"/>
        </w:rPr>
        <w:t>分钟以下、</w:t>
      </w:r>
      <w:r>
        <w:rPr>
          <w:rFonts w:ascii="Times New Roman" w:eastAsia="仿宋" w:hAnsi="Times New Roman" w:cs="Times New Roman"/>
          <w:lang w:val="en-US" w:eastAsia="zh-CN" w:bidi="ar-SA"/>
        </w:rPr>
        <w:t>30-60</w:t>
      </w:r>
      <w:r>
        <w:rPr>
          <w:rFonts w:ascii="Times New Roman" w:eastAsia="仿宋" w:hAnsi="Times New Roman" w:cs="Times New Roman"/>
          <w:lang w:val="en-US" w:eastAsia="zh-CN" w:bidi="ar-SA"/>
        </w:rPr>
        <w:t>分钟、</w:t>
      </w:r>
      <w:r>
        <w:rPr>
          <w:rFonts w:ascii="Times New Roman" w:eastAsia="仿宋" w:hAnsi="Times New Roman" w:cs="Times New Roman"/>
          <w:lang w:val="en-US" w:eastAsia="zh-CN" w:bidi="ar-SA"/>
        </w:rPr>
        <w:t>60</w:t>
      </w:r>
      <w:r>
        <w:rPr>
          <w:rFonts w:ascii="Times New Roman" w:eastAsia="仿宋" w:hAnsi="Times New Roman" w:cs="Times New Roman"/>
          <w:lang w:val="en-US" w:eastAsia="zh-CN" w:bidi="ar-SA"/>
        </w:rPr>
        <w:t>分钟以上三档。</w:t>
      </w:r>
    </w:p>
    <w:p w:rsidR="004478F1" w:rsidRPr="00085845" w:rsidRDefault="00085845" w:rsidP="00085845">
      <w:pPr>
        <w:spacing w:line="360" w:lineRule="auto"/>
        <w:ind w:firstLineChars="200" w:firstLine="600"/>
        <w:rPr>
          <w:rFonts w:ascii="Times New Roman" w:eastAsia="黑体" w:hAnsi="Times New Roman" w:cs="Times New Roman"/>
          <w:sz w:val="30"/>
          <w:szCs w:val="30"/>
        </w:rPr>
      </w:pPr>
      <w:r w:rsidRPr="00085845">
        <w:rPr>
          <w:rFonts w:ascii="Times New Roman" w:eastAsia="黑体" w:hAnsi="Times New Roman" w:cs="Times New Roman"/>
          <w:sz w:val="30"/>
          <w:szCs w:val="30"/>
        </w:rPr>
        <w:t>三、学</w:t>
      </w:r>
      <w:r w:rsidRPr="00085845">
        <w:rPr>
          <w:rFonts w:ascii="Times New Roman" w:eastAsia="黑体" w:hAnsi="Times New Roman" w:cs="Times New Roman"/>
          <w:sz w:val="30"/>
          <w:szCs w:val="30"/>
        </w:rPr>
        <w:t>（协）会奖级别的认定</w:t>
      </w:r>
    </w:p>
    <w:p w:rsidR="004478F1" w:rsidRDefault="00085845">
      <w:pPr>
        <w:pStyle w:val="Bodytext1"/>
        <w:tabs>
          <w:tab w:val="left" w:pos="720"/>
        </w:tabs>
        <w:spacing w:line="564" w:lineRule="exact"/>
        <w:ind w:firstLineChars="200" w:firstLine="600"/>
        <w:rPr>
          <w:rFonts w:ascii="Times New Roman" w:eastAsia="仿宋" w:hAnsi="Times New Roman" w:cs="Times New Roman"/>
          <w:lang w:val="en-US" w:eastAsia="zh-CN" w:bidi="ar-SA"/>
        </w:rPr>
      </w:pPr>
      <w:bookmarkStart w:id="2" w:name="bookmark25"/>
      <w:bookmarkEnd w:id="2"/>
      <w:r>
        <w:rPr>
          <w:rFonts w:ascii="Times New Roman" w:eastAsia="仿宋" w:hAnsi="Times New Roman" w:cs="Times New Roman"/>
          <w:lang w:val="en-US" w:eastAsia="zh-CN" w:bidi="ar-SA"/>
        </w:rPr>
        <w:t xml:space="preserve">1. </w:t>
      </w:r>
      <w:r>
        <w:rPr>
          <w:rFonts w:ascii="Times New Roman" w:eastAsia="仿宋" w:hAnsi="Times New Roman" w:cs="Times New Roman"/>
          <w:lang w:val="en-US" w:eastAsia="zh-CN" w:bidi="ar-SA"/>
        </w:rPr>
        <w:t>国家级学（协）会奖视为省部</w:t>
      </w:r>
      <w:r>
        <w:rPr>
          <w:rFonts w:ascii="Times New Roman" w:eastAsia="仿宋" w:hAnsi="Times New Roman" w:cs="Times New Roman"/>
          <w:lang w:val="en-US" w:eastAsia="zh-CN" w:bidi="ar-SA"/>
        </w:rPr>
        <w:t>A</w:t>
      </w:r>
      <w:r>
        <w:rPr>
          <w:rFonts w:ascii="Times New Roman" w:eastAsia="仿宋" w:hAnsi="Times New Roman" w:cs="Times New Roman"/>
          <w:lang w:val="en-US" w:eastAsia="zh-CN" w:bidi="ar-SA"/>
        </w:rPr>
        <w:t>级，包括中国美术家协会、中国摄影家协会、中国艺术摄影学会、中国文艺评论家协会、中国书法家协会、中国民间文艺家协会、中国工业设计协会、中国工艺美术学会、中国广告协会、中国包装联合会、中国轻工联合会、中国雕塑协会、中国陶瓷工业协会、中国建筑学会、中国照明学会、中国动画协会、中国广播电视协会组织的专业评奖、赛事、展览。</w:t>
      </w:r>
    </w:p>
    <w:p w:rsidR="004478F1" w:rsidRDefault="00085845">
      <w:pPr>
        <w:pStyle w:val="Bodytext1"/>
        <w:tabs>
          <w:tab w:val="left" w:pos="720"/>
        </w:tabs>
        <w:spacing w:line="564" w:lineRule="exact"/>
        <w:ind w:firstLineChars="200" w:firstLine="600"/>
        <w:rPr>
          <w:rFonts w:ascii="Times New Roman" w:eastAsia="仿宋" w:hAnsi="Times New Roman" w:cs="Times New Roman"/>
          <w:lang w:val="en-US" w:eastAsia="zh-CN" w:bidi="ar-SA"/>
        </w:rPr>
      </w:pPr>
      <w:r>
        <w:rPr>
          <w:rFonts w:ascii="Times New Roman" w:eastAsia="仿宋" w:hAnsi="Times New Roman" w:cs="Times New Roman"/>
          <w:lang w:val="en-US" w:eastAsia="zh-CN" w:bidi="ar-SA"/>
        </w:rPr>
        <w:t xml:space="preserve">2. </w:t>
      </w:r>
      <w:r>
        <w:rPr>
          <w:rFonts w:ascii="Times New Roman" w:eastAsia="仿宋" w:hAnsi="Times New Roman" w:cs="Times New Roman"/>
          <w:lang w:val="en-US" w:eastAsia="zh-CN" w:bidi="ar-SA"/>
        </w:rPr>
        <w:t>由一级学（协）会下设艺术委员会及省级学（协）会主办专业展览或者比赛视为委办局级。如：上海创意工作者协会、上海设计之都</w:t>
      </w:r>
      <w:r>
        <w:rPr>
          <w:rFonts w:ascii="Times New Roman" w:eastAsia="仿宋" w:hAnsi="Times New Roman" w:cs="Times New Roman" w:hint="eastAsia"/>
          <w:lang w:val="en-US" w:eastAsia="zh-CN" w:bidi="ar-SA"/>
        </w:rPr>
        <w:t>促</w:t>
      </w:r>
      <w:r>
        <w:rPr>
          <w:rFonts w:ascii="Times New Roman" w:eastAsia="仿宋" w:hAnsi="Times New Roman" w:cs="Times New Roman"/>
          <w:lang w:val="en-US" w:eastAsia="zh-CN" w:bidi="ar-SA"/>
        </w:rPr>
        <w:t>进中心</w:t>
      </w:r>
      <w:r>
        <w:rPr>
          <w:rFonts w:ascii="Times New Roman" w:eastAsia="仿宋" w:hAnsi="Times New Roman" w:cs="Times New Roman" w:hint="eastAsia"/>
          <w:lang w:val="en-US" w:eastAsia="zh-CN" w:bidi="ar-SA"/>
        </w:rPr>
        <w:t>等</w:t>
      </w:r>
      <w:r>
        <w:rPr>
          <w:rFonts w:ascii="Times New Roman" w:eastAsia="仿宋" w:hAnsi="Times New Roman" w:cs="Times New Roman"/>
          <w:lang w:val="en-US" w:eastAsia="zh-CN" w:bidi="ar-SA"/>
        </w:rPr>
        <w:t>举办的相</w:t>
      </w:r>
      <w:r>
        <w:rPr>
          <w:rFonts w:ascii="Times New Roman" w:eastAsia="仿宋" w:hAnsi="Times New Roman" w:cs="Times New Roman"/>
          <w:lang w:val="en-US" w:eastAsia="zh-CN" w:bidi="ar-SA"/>
        </w:rPr>
        <w:t>关设计展览作品获奖（如：上海设计</w:t>
      </w:r>
      <w:r>
        <w:rPr>
          <w:rFonts w:ascii="Times New Roman" w:eastAsia="仿宋" w:hAnsi="Times New Roman" w:cs="Times New Roman"/>
          <w:lang w:val="en-US" w:eastAsia="zh-CN" w:bidi="ar-SA"/>
        </w:rPr>
        <w:t>100+</w:t>
      </w:r>
      <w:r>
        <w:rPr>
          <w:rFonts w:ascii="Times New Roman" w:eastAsia="仿宋" w:hAnsi="Times New Roman" w:cs="Times New Roman"/>
          <w:lang w:val="en-US" w:eastAsia="zh-CN" w:bidi="ar-SA"/>
        </w:rPr>
        <w:t>）等。</w:t>
      </w:r>
    </w:p>
    <w:p w:rsidR="004478F1" w:rsidRPr="00085845" w:rsidRDefault="00085845" w:rsidP="00085845">
      <w:pPr>
        <w:spacing w:line="360" w:lineRule="auto"/>
        <w:ind w:firstLineChars="200" w:firstLine="600"/>
        <w:rPr>
          <w:rFonts w:ascii="Times New Roman" w:eastAsia="黑体" w:hAnsi="Times New Roman" w:cs="Times New Roman"/>
          <w:sz w:val="30"/>
          <w:szCs w:val="30"/>
        </w:rPr>
      </w:pPr>
      <w:r w:rsidRPr="00085845">
        <w:rPr>
          <w:rFonts w:ascii="Times New Roman" w:eastAsia="黑体" w:hAnsi="Times New Roman" w:cs="Times New Roman"/>
          <w:sz w:val="30"/>
          <w:szCs w:val="30"/>
        </w:rPr>
        <w:t>四、艺术交流展及设计展获奖的认定</w:t>
      </w:r>
    </w:p>
    <w:p w:rsidR="004478F1" w:rsidRDefault="00085845">
      <w:pPr>
        <w:pStyle w:val="Bodytext1"/>
        <w:tabs>
          <w:tab w:val="left" w:pos="720"/>
        </w:tabs>
        <w:spacing w:line="564" w:lineRule="exact"/>
        <w:ind w:firstLineChars="200" w:firstLine="600"/>
        <w:rPr>
          <w:rFonts w:ascii="Times New Roman" w:eastAsia="仿宋" w:hAnsi="Times New Roman" w:cs="Times New Roman"/>
          <w:lang w:val="en-US" w:eastAsia="zh-CN" w:bidi="ar-SA"/>
        </w:rPr>
      </w:pPr>
      <w:r>
        <w:rPr>
          <w:rFonts w:ascii="Times New Roman" w:eastAsia="仿宋" w:hAnsi="Times New Roman" w:cs="Times New Roman"/>
          <w:lang w:val="en-US" w:eastAsia="zh-CN" w:bidi="ar-SA"/>
        </w:rPr>
        <w:t xml:space="preserve">1. </w:t>
      </w:r>
      <w:r>
        <w:rPr>
          <w:rFonts w:ascii="Times New Roman" w:eastAsia="仿宋" w:hAnsi="Times New Roman" w:cs="Times New Roman"/>
          <w:lang w:val="en-US" w:eastAsia="zh-CN" w:bidi="ar-SA"/>
        </w:rPr>
        <w:t>国际知名博物馆、艺术馆、国际重要艺术交流展及</w:t>
      </w:r>
      <w:proofErr w:type="gramStart"/>
      <w:r>
        <w:rPr>
          <w:rFonts w:ascii="Times New Roman" w:eastAsia="仿宋" w:hAnsi="Times New Roman" w:cs="Times New Roman"/>
          <w:lang w:val="en-US" w:eastAsia="zh-CN" w:bidi="ar-SA"/>
        </w:rPr>
        <w:t>设计展赛获奖</w:t>
      </w:r>
      <w:proofErr w:type="gramEnd"/>
      <w:r>
        <w:rPr>
          <w:rFonts w:ascii="Times New Roman" w:eastAsia="仿宋" w:hAnsi="Times New Roman" w:cs="Times New Roman"/>
          <w:lang w:val="en-US" w:eastAsia="zh-CN" w:bidi="ar-SA"/>
        </w:rPr>
        <w:t>参照国家</w:t>
      </w:r>
      <w:r>
        <w:rPr>
          <w:rFonts w:ascii="Times New Roman" w:eastAsia="仿宋" w:hAnsi="Times New Roman" w:cs="Times New Roman"/>
          <w:lang w:val="en-US" w:eastAsia="zh-CN" w:bidi="ar-SA"/>
        </w:rPr>
        <w:t>A</w:t>
      </w:r>
      <w:r>
        <w:rPr>
          <w:rFonts w:ascii="Times New Roman" w:eastAsia="仿宋" w:hAnsi="Times New Roman" w:cs="Times New Roman"/>
          <w:lang w:val="en-US" w:eastAsia="zh-CN" w:bidi="ar-SA"/>
        </w:rPr>
        <w:t>级，具体包括：</w:t>
      </w:r>
    </w:p>
    <w:p w:rsidR="004478F1" w:rsidRDefault="00085845">
      <w:pPr>
        <w:numPr>
          <w:ilvl w:val="0"/>
          <w:numId w:val="2"/>
        </w:numPr>
        <w:rPr>
          <w:rFonts w:ascii="Times New Roman" w:eastAsia="仿宋" w:hAnsi="Times New Roman" w:cs="Times New Roman"/>
          <w:sz w:val="30"/>
          <w:szCs w:val="30"/>
        </w:rPr>
      </w:pPr>
      <w:r>
        <w:rPr>
          <w:rFonts w:ascii="Times New Roman" w:eastAsia="仿宋" w:hAnsi="Times New Roman" w:cs="Times New Roman"/>
          <w:sz w:val="30"/>
          <w:szCs w:val="30"/>
        </w:rPr>
        <w:t>国际知名博物馆、美术馆作品收藏或展出（如：中国国家博物馆、卢浮宫、梵蒂冈博物馆、纽约大都会博物馆、伦敦大</w:t>
      </w:r>
      <w:r>
        <w:rPr>
          <w:rFonts w:ascii="Times New Roman" w:eastAsia="仿宋" w:hAnsi="Times New Roman" w:cs="Times New Roman"/>
          <w:sz w:val="30"/>
          <w:szCs w:val="30"/>
        </w:rPr>
        <w:lastRenderedPageBreak/>
        <w:t>英博物馆、泰特美术馆、英国国家美术馆、英国自然历史博物馆、美国自然历史博物馆、艾尔米塔什博物馆）</w:t>
      </w:r>
    </w:p>
    <w:p w:rsidR="004478F1" w:rsidRDefault="00085845">
      <w:pPr>
        <w:numPr>
          <w:ilvl w:val="0"/>
          <w:numId w:val="2"/>
        </w:numPr>
        <w:rPr>
          <w:rFonts w:ascii="Times New Roman" w:eastAsia="仿宋" w:hAnsi="Times New Roman" w:cs="Times New Roman"/>
          <w:sz w:val="30"/>
          <w:szCs w:val="30"/>
        </w:rPr>
      </w:pPr>
      <w:r>
        <w:rPr>
          <w:rFonts w:ascii="Times New Roman" w:eastAsia="仿宋" w:hAnsi="Times New Roman" w:cs="Times New Roman"/>
          <w:sz w:val="30"/>
          <w:szCs w:val="30"/>
        </w:rPr>
        <w:t>国际三大重要艺术双年展作品展出（如：威尼斯双年展、卡塞尔文献展、圣保罗双年展）</w:t>
      </w:r>
    </w:p>
    <w:p w:rsidR="004478F1" w:rsidRDefault="00085845">
      <w:pPr>
        <w:numPr>
          <w:ilvl w:val="0"/>
          <w:numId w:val="2"/>
        </w:numPr>
        <w:rPr>
          <w:rFonts w:ascii="Times New Roman" w:eastAsia="仿宋" w:hAnsi="Times New Roman" w:cs="Times New Roman"/>
          <w:sz w:val="30"/>
          <w:szCs w:val="30"/>
        </w:rPr>
      </w:pPr>
      <w:r>
        <w:rPr>
          <w:rFonts w:ascii="Times New Roman" w:eastAsia="仿宋" w:hAnsi="Times New Roman" w:cs="Times New Roman"/>
          <w:sz w:val="30"/>
          <w:szCs w:val="30"/>
        </w:rPr>
        <w:t>世界三大</w:t>
      </w:r>
      <w:hyperlink r:id="rId8" w:tgtFrame="_blank" w:history="1">
        <w:r>
          <w:rPr>
            <w:rFonts w:ascii="Times New Roman" w:eastAsia="仿宋" w:hAnsi="Times New Roman" w:cs="Times New Roman"/>
            <w:sz w:val="30"/>
            <w:szCs w:val="30"/>
          </w:rPr>
          <w:t>现代</w:t>
        </w:r>
      </w:hyperlink>
      <w:hyperlink r:id="rId9" w:tgtFrame="_blank" w:history="1">
        <w:r>
          <w:rPr>
            <w:rFonts w:ascii="Times New Roman" w:eastAsia="仿宋" w:hAnsi="Times New Roman" w:cs="Times New Roman"/>
            <w:sz w:val="30"/>
            <w:szCs w:val="30"/>
          </w:rPr>
          <w:t>艺术馆</w:t>
        </w:r>
      </w:hyperlink>
      <w:r>
        <w:rPr>
          <w:rFonts w:ascii="Times New Roman" w:eastAsia="仿宋" w:hAnsi="Times New Roman" w:cs="Times New Roman"/>
          <w:sz w:val="30"/>
          <w:szCs w:val="30"/>
        </w:rPr>
        <w:t>作品收藏或展出（如：</w:t>
      </w:r>
      <w:hyperlink r:id="rId10" w:tgtFrame="_blank" w:history="1">
        <w:r>
          <w:rPr>
            <w:rFonts w:ascii="Times New Roman" w:eastAsia="仿宋" w:hAnsi="Times New Roman" w:cs="Times New Roman"/>
            <w:sz w:val="30"/>
            <w:szCs w:val="30"/>
          </w:rPr>
          <w:t>纽约现代美术馆</w:t>
        </w:r>
      </w:hyperlink>
      <w:r>
        <w:rPr>
          <w:rFonts w:ascii="Times New Roman" w:eastAsia="仿宋" w:hAnsi="Times New Roman" w:cs="Times New Roman"/>
          <w:sz w:val="30"/>
          <w:szCs w:val="30"/>
        </w:rPr>
        <w:t>、</w:t>
      </w:r>
      <w:hyperlink r:id="rId11" w:tgtFrame="_blank" w:history="1">
        <w:r>
          <w:rPr>
            <w:rFonts w:ascii="Times New Roman" w:eastAsia="仿宋" w:hAnsi="Times New Roman" w:cs="Times New Roman"/>
            <w:sz w:val="30"/>
            <w:szCs w:val="30"/>
          </w:rPr>
          <w:t>法国</w:t>
        </w:r>
      </w:hyperlink>
      <w:r>
        <w:rPr>
          <w:rFonts w:ascii="Times New Roman" w:eastAsia="仿宋" w:hAnsi="Times New Roman" w:cs="Times New Roman"/>
          <w:sz w:val="30"/>
          <w:szCs w:val="30"/>
        </w:rPr>
        <w:t>蓬皮杜</w:t>
      </w:r>
      <w:hyperlink r:id="rId12" w:tgtFrame="_blank" w:history="1">
        <w:r>
          <w:rPr>
            <w:rFonts w:ascii="Times New Roman" w:eastAsia="仿宋" w:hAnsi="Times New Roman" w:cs="Times New Roman"/>
            <w:sz w:val="30"/>
            <w:szCs w:val="30"/>
          </w:rPr>
          <w:t>艺术中心</w:t>
        </w:r>
      </w:hyperlink>
      <w:r>
        <w:rPr>
          <w:rFonts w:ascii="Times New Roman" w:eastAsia="仿宋" w:hAnsi="Times New Roman" w:cs="Times New Roman"/>
          <w:sz w:val="30"/>
          <w:szCs w:val="30"/>
        </w:rPr>
        <w:t>、</w:t>
      </w:r>
      <w:hyperlink r:id="rId13" w:tgtFrame="_blank" w:history="1">
        <w:r>
          <w:rPr>
            <w:rFonts w:ascii="Times New Roman" w:eastAsia="仿宋" w:hAnsi="Times New Roman" w:cs="Times New Roman"/>
            <w:sz w:val="30"/>
            <w:szCs w:val="30"/>
          </w:rPr>
          <w:t>泰特美术馆</w:t>
        </w:r>
      </w:hyperlink>
      <w:r>
        <w:rPr>
          <w:rFonts w:ascii="Times New Roman" w:eastAsia="仿宋" w:hAnsi="Times New Roman" w:cs="Times New Roman"/>
          <w:sz w:val="30"/>
          <w:szCs w:val="30"/>
        </w:rPr>
        <w:t>）</w:t>
      </w:r>
    </w:p>
    <w:p w:rsidR="004478F1" w:rsidRDefault="00085845">
      <w:pPr>
        <w:numPr>
          <w:ilvl w:val="0"/>
          <w:numId w:val="2"/>
        </w:numPr>
        <w:rPr>
          <w:rFonts w:ascii="Times New Roman" w:eastAsia="仿宋" w:hAnsi="Times New Roman" w:cs="Times New Roman"/>
          <w:sz w:val="30"/>
          <w:szCs w:val="30"/>
        </w:rPr>
      </w:pPr>
      <w:r>
        <w:rPr>
          <w:rFonts w:ascii="Times New Roman" w:eastAsia="仿宋" w:hAnsi="Times New Roman" w:cs="Times New Roman"/>
          <w:sz w:val="30"/>
          <w:szCs w:val="30"/>
        </w:rPr>
        <w:t>国际重要广告大奖（如：戛纳广告奖、艾菲奖、克里奥大奖、龙玺奖、伦敦国际广告奖、莫比杰出广告奖、纽约广告大奖、时报亚太广告奖）</w:t>
      </w:r>
    </w:p>
    <w:p w:rsidR="004478F1" w:rsidRDefault="00085845">
      <w:pPr>
        <w:numPr>
          <w:ilvl w:val="0"/>
          <w:numId w:val="2"/>
        </w:numPr>
        <w:rPr>
          <w:rFonts w:ascii="Times New Roman" w:eastAsia="仿宋" w:hAnsi="Times New Roman" w:cs="Times New Roman"/>
          <w:sz w:val="30"/>
          <w:szCs w:val="30"/>
        </w:rPr>
      </w:pPr>
      <w:r>
        <w:rPr>
          <w:rFonts w:ascii="Times New Roman" w:eastAsia="仿宋" w:hAnsi="Times New Roman" w:cs="Times New Roman"/>
          <w:sz w:val="30"/>
          <w:szCs w:val="30"/>
        </w:rPr>
        <w:t>国际重要电影奖项（如：电影奥斯卡奖、威尼斯电影节、戛纳电影节、柏林电影节、亚洲国际电影节、台湾电影金马奖、香港国际电影节、上海国际电影节）</w:t>
      </w:r>
    </w:p>
    <w:p w:rsidR="004478F1" w:rsidRDefault="00085845">
      <w:pPr>
        <w:numPr>
          <w:ilvl w:val="0"/>
          <w:numId w:val="2"/>
        </w:numPr>
        <w:rPr>
          <w:rFonts w:ascii="Times New Roman" w:eastAsia="仿宋" w:hAnsi="Times New Roman" w:cs="Times New Roman"/>
          <w:sz w:val="30"/>
          <w:szCs w:val="30"/>
        </w:rPr>
      </w:pPr>
      <w:r>
        <w:rPr>
          <w:rFonts w:ascii="Times New Roman" w:eastAsia="仿宋" w:hAnsi="Times New Roman" w:cs="Times New Roman"/>
          <w:sz w:val="30"/>
          <w:szCs w:val="30"/>
        </w:rPr>
        <w:t>其它国际重要艺术门类奖项（如：肖邦国际钢琴比赛、威尼斯建筑双年展、建筑普利兹克奖）</w:t>
      </w:r>
    </w:p>
    <w:p w:rsidR="004478F1" w:rsidRDefault="00085845">
      <w:pPr>
        <w:ind w:firstLineChars="200" w:firstLine="600"/>
        <w:rPr>
          <w:rFonts w:ascii="Times New Roman" w:eastAsia="仿宋" w:hAnsi="Times New Roman" w:cs="Times New Roman"/>
          <w:sz w:val="30"/>
          <w:szCs w:val="30"/>
          <w:lang w:val="zh-TW" w:eastAsia="zh-TW" w:bidi="zh-TW"/>
        </w:rPr>
      </w:pPr>
      <w:r>
        <w:rPr>
          <w:rFonts w:ascii="Times New Roman" w:eastAsia="仿宋" w:hAnsi="Times New Roman" w:cs="Times New Roman"/>
          <w:sz w:val="30"/>
          <w:szCs w:val="30"/>
          <w:lang w:val="zh-TW" w:eastAsia="zh-TW" w:bidi="zh-TW"/>
        </w:rPr>
        <w:t xml:space="preserve">2. </w:t>
      </w:r>
      <w:r>
        <w:rPr>
          <w:rFonts w:ascii="Times New Roman" w:eastAsia="仿宋" w:hAnsi="Times New Roman" w:cs="Times New Roman"/>
          <w:sz w:val="30"/>
          <w:szCs w:val="30"/>
          <w:lang w:val="zh-TW" w:eastAsia="zh-TW" w:bidi="zh-TW"/>
        </w:rPr>
        <w:t>国际公认三大设计奖项（德国红点奖、德国</w:t>
      </w:r>
      <w:r>
        <w:rPr>
          <w:rFonts w:ascii="Times New Roman" w:eastAsia="仿宋" w:hAnsi="Times New Roman" w:cs="Times New Roman"/>
          <w:sz w:val="30"/>
          <w:szCs w:val="30"/>
          <w:lang w:val="zh-TW" w:eastAsia="zh-TW" w:bidi="zh-TW"/>
        </w:rPr>
        <w:t>IF</w:t>
      </w:r>
      <w:r>
        <w:rPr>
          <w:rFonts w:ascii="Times New Roman" w:eastAsia="仿宋" w:hAnsi="Times New Roman" w:cs="Times New Roman"/>
          <w:sz w:val="30"/>
          <w:szCs w:val="30"/>
          <w:lang w:val="zh-TW" w:eastAsia="zh-TW" w:bidi="zh-TW"/>
        </w:rPr>
        <w:t>设计奖、美国</w:t>
      </w:r>
      <w:r>
        <w:rPr>
          <w:rFonts w:ascii="Times New Roman" w:eastAsia="仿宋" w:hAnsi="Times New Roman" w:cs="Times New Roman"/>
          <w:sz w:val="30"/>
          <w:szCs w:val="30"/>
          <w:lang w:val="zh-TW" w:eastAsia="zh-TW" w:bidi="zh-TW"/>
        </w:rPr>
        <w:t>IDEA</w:t>
      </w:r>
      <w:r>
        <w:rPr>
          <w:rFonts w:ascii="Times New Roman" w:eastAsia="仿宋" w:hAnsi="Times New Roman" w:cs="Times New Roman"/>
          <w:sz w:val="30"/>
          <w:szCs w:val="30"/>
          <w:lang w:val="zh-TW" w:eastAsia="zh-TW" w:bidi="zh-TW"/>
        </w:rPr>
        <w:t>奖），按照一类科研成果认定，其成果业绩点见学校科技成果业绩认定实施细则主件规定。</w:t>
      </w:r>
    </w:p>
    <w:p w:rsidR="004478F1" w:rsidRDefault="00085845">
      <w:pPr>
        <w:pStyle w:val="Bodytext1"/>
        <w:tabs>
          <w:tab w:val="left" w:pos="720"/>
        </w:tabs>
        <w:spacing w:line="564" w:lineRule="exact"/>
        <w:ind w:firstLineChars="200" w:firstLine="600"/>
        <w:rPr>
          <w:rFonts w:ascii="Times New Roman" w:eastAsia="仿宋" w:hAnsi="Times New Roman" w:cs="Times New Roman"/>
        </w:rPr>
      </w:pPr>
      <w:r>
        <w:rPr>
          <w:rFonts w:ascii="Times New Roman" w:eastAsia="仿宋" w:hAnsi="Times New Roman" w:cs="Times New Roman"/>
        </w:rPr>
        <w:t xml:space="preserve">3. </w:t>
      </w:r>
      <w:r>
        <w:rPr>
          <w:rFonts w:ascii="Times New Roman" w:eastAsia="仿宋" w:hAnsi="Times New Roman" w:cs="Times New Roman"/>
        </w:rPr>
        <w:t>其他国际参展获奖</w:t>
      </w:r>
      <w:r>
        <w:rPr>
          <w:rFonts w:ascii="Times New Roman" w:eastAsia="仿宋" w:hAnsi="Times New Roman" w:cs="Times New Roman" w:hint="eastAsia"/>
          <w:lang w:eastAsia="zh-CN"/>
        </w:rPr>
        <w:t>，</w:t>
      </w:r>
      <w:r>
        <w:rPr>
          <w:rFonts w:ascii="Times New Roman" w:eastAsia="仿宋" w:hAnsi="Times New Roman" w:cs="Times New Roman"/>
        </w:rPr>
        <w:t>科研处参照相关办法提出认定建议，如有疑义，由学术委员会审核予以认定。</w:t>
      </w:r>
    </w:p>
    <w:p w:rsidR="004478F1" w:rsidRPr="00085845" w:rsidRDefault="00085845" w:rsidP="00085845">
      <w:pPr>
        <w:spacing w:line="360" w:lineRule="auto"/>
        <w:ind w:firstLineChars="200" w:firstLine="600"/>
        <w:rPr>
          <w:rFonts w:ascii="Times New Roman" w:eastAsia="黑体" w:hAnsi="Times New Roman" w:cs="Times New Roman"/>
          <w:sz w:val="30"/>
          <w:szCs w:val="30"/>
        </w:rPr>
      </w:pPr>
      <w:bookmarkStart w:id="3" w:name="_GoBack"/>
      <w:r w:rsidRPr="00085845">
        <w:rPr>
          <w:rFonts w:ascii="Times New Roman" w:eastAsia="黑体" w:hAnsi="Times New Roman" w:cs="Times New Roman"/>
          <w:sz w:val="30"/>
          <w:szCs w:val="30"/>
        </w:rPr>
        <w:t>五、其他规定</w:t>
      </w:r>
    </w:p>
    <w:p w:rsidR="004478F1" w:rsidRDefault="00085845">
      <w:pPr>
        <w:pStyle w:val="Bodytext1"/>
        <w:tabs>
          <w:tab w:val="left" w:pos="720"/>
        </w:tabs>
        <w:spacing w:line="564" w:lineRule="exact"/>
        <w:ind w:firstLineChars="200" w:firstLine="600"/>
        <w:rPr>
          <w:rFonts w:ascii="Times New Roman" w:eastAsia="仿宋" w:hAnsi="Times New Roman" w:cs="Times New Roman"/>
          <w:lang w:val="en-US" w:eastAsia="zh-CN" w:bidi="ar-SA"/>
        </w:rPr>
      </w:pPr>
      <w:bookmarkStart w:id="4" w:name="bookmark26"/>
      <w:bookmarkEnd w:id="4"/>
      <w:bookmarkEnd w:id="3"/>
      <w:r>
        <w:rPr>
          <w:rFonts w:ascii="Times New Roman" w:eastAsia="仿宋" w:hAnsi="Times New Roman" w:cs="Times New Roman"/>
          <w:lang w:val="en-US" w:eastAsia="zh-CN" w:bidi="ar-SA"/>
        </w:rPr>
        <w:t xml:space="preserve">1. </w:t>
      </w:r>
      <w:r>
        <w:rPr>
          <w:rFonts w:ascii="Times New Roman" w:eastAsia="仿宋" w:hAnsi="Times New Roman" w:cs="Times New Roman"/>
          <w:lang w:val="en-US" w:eastAsia="zh-CN" w:bidi="ar-SA"/>
        </w:rPr>
        <w:t>个人</w:t>
      </w:r>
      <w:proofErr w:type="gramStart"/>
      <w:r>
        <w:rPr>
          <w:rFonts w:ascii="Times New Roman" w:eastAsia="仿宋" w:hAnsi="Times New Roman" w:cs="Times New Roman"/>
          <w:lang w:val="en-US" w:eastAsia="zh-CN" w:bidi="ar-SA"/>
        </w:rPr>
        <w:t>作品展须提交</w:t>
      </w:r>
      <w:proofErr w:type="gramEnd"/>
      <w:r>
        <w:rPr>
          <w:rFonts w:ascii="Times New Roman" w:eastAsia="仿宋" w:hAnsi="Times New Roman" w:cs="Times New Roman"/>
          <w:lang w:val="en-US" w:eastAsia="zh-CN" w:bidi="ar-SA"/>
        </w:rPr>
        <w:t>主办部门证书；作品收藏须提交收藏证书。以上各级学（协）会主办的艺术作品展览奖项中，只设立</w:t>
      </w:r>
      <w:r>
        <w:rPr>
          <w:rFonts w:ascii="Times New Roman" w:eastAsia="仿宋" w:hAnsi="Times New Roman" w:cs="Times New Roman"/>
          <w:lang w:val="en-US" w:eastAsia="zh-CN" w:bidi="ar-SA"/>
        </w:rPr>
        <w:lastRenderedPageBreak/>
        <w:t>单项奖而不设金银铜奖的，按一等奖计；各级学（协）会主办的艺术作品展览奖项中，不设奖项的按照入选认定。</w:t>
      </w:r>
    </w:p>
    <w:p w:rsidR="004478F1" w:rsidRDefault="00085845">
      <w:pPr>
        <w:pStyle w:val="Bodytext1"/>
        <w:tabs>
          <w:tab w:val="left" w:pos="720"/>
        </w:tabs>
        <w:spacing w:line="564" w:lineRule="exact"/>
        <w:ind w:firstLineChars="200" w:firstLine="600"/>
        <w:rPr>
          <w:rFonts w:ascii="Times New Roman" w:eastAsia="仿宋" w:hAnsi="Times New Roman" w:cs="Times New Roman"/>
          <w:lang w:val="en-US" w:eastAsia="zh-CN" w:bidi="ar-SA"/>
        </w:rPr>
      </w:pPr>
      <w:r>
        <w:rPr>
          <w:rFonts w:ascii="Times New Roman" w:eastAsia="仿宋" w:hAnsi="Times New Roman" w:cs="Times New Roman"/>
          <w:lang w:val="en-US" w:eastAsia="zh-CN" w:bidi="ar-SA"/>
        </w:rPr>
        <w:t xml:space="preserve">2. </w:t>
      </w:r>
      <w:r>
        <w:rPr>
          <w:rFonts w:ascii="Times New Roman" w:eastAsia="仿宋" w:hAnsi="Times New Roman" w:cs="Times New Roman"/>
          <w:lang w:val="en-US" w:eastAsia="zh-CN" w:bidi="ar-SA"/>
        </w:rPr>
        <w:t>作品获奖或被收藏或其他重复情况，按最高级别计算。</w:t>
      </w:r>
    </w:p>
    <w:p w:rsidR="004478F1" w:rsidRDefault="00085845">
      <w:pPr>
        <w:pStyle w:val="Bodytext1"/>
        <w:tabs>
          <w:tab w:val="left" w:pos="720"/>
        </w:tabs>
        <w:spacing w:line="542" w:lineRule="exact"/>
        <w:ind w:firstLineChars="200" w:firstLine="600"/>
        <w:rPr>
          <w:rFonts w:ascii="Times New Roman" w:eastAsia="仿宋" w:hAnsi="Times New Roman" w:cs="Times New Roman"/>
          <w:lang w:val="en-US" w:eastAsia="zh-CN" w:bidi="ar-SA"/>
        </w:rPr>
      </w:pPr>
      <w:bookmarkStart w:id="5" w:name="bookmark27"/>
      <w:bookmarkEnd w:id="5"/>
      <w:r>
        <w:rPr>
          <w:rFonts w:ascii="Times New Roman" w:eastAsia="仿宋" w:hAnsi="Times New Roman" w:cs="Times New Roman"/>
          <w:lang w:val="en-US" w:eastAsia="zh-CN" w:bidi="ar-SA"/>
        </w:rPr>
        <w:t xml:space="preserve">3. </w:t>
      </w:r>
      <w:r>
        <w:rPr>
          <w:rFonts w:ascii="Times New Roman" w:eastAsia="仿宋" w:hAnsi="Times New Roman" w:cs="Times New Roman"/>
          <w:lang w:val="en-US" w:eastAsia="zh-CN" w:bidi="ar-SA"/>
        </w:rPr>
        <w:t>部分有争议的奖项由校学术委员会审核认定。</w:t>
      </w:r>
    </w:p>
    <w:sectPr w:rsidR="004478F1">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85845">
      <w:r>
        <w:separator/>
      </w:r>
    </w:p>
  </w:endnote>
  <w:endnote w:type="continuationSeparator" w:id="0">
    <w:p w:rsidR="00000000" w:rsidRDefault="0008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0385049"/>
    </w:sdtPr>
    <w:sdtEndPr/>
    <w:sdtContent>
      <w:p w:rsidR="004478F1" w:rsidRDefault="00085845">
        <w:pPr>
          <w:pStyle w:val="a4"/>
          <w:jc w:val="center"/>
        </w:pPr>
        <w:r>
          <w:fldChar w:fldCharType="begin"/>
        </w:r>
        <w:r>
          <w:instrText>PAGE   \* MERGEFORMAT</w:instrText>
        </w:r>
        <w:r>
          <w:fldChar w:fldCharType="separate"/>
        </w:r>
        <w:r w:rsidRPr="00085845">
          <w:rPr>
            <w:noProof/>
            <w:lang w:val="zh-CN"/>
          </w:rPr>
          <w:t>3</w:t>
        </w:r>
        <w:r>
          <w:fldChar w:fldCharType="end"/>
        </w:r>
      </w:p>
    </w:sdtContent>
  </w:sdt>
  <w:p w:rsidR="004478F1" w:rsidRDefault="004478F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85845">
      <w:r>
        <w:separator/>
      </w:r>
    </w:p>
  </w:footnote>
  <w:footnote w:type="continuationSeparator" w:id="0">
    <w:p w:rsidR="00000000" w:rsidRDefault="000858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767D02"/>
    <w:multiLevelType w:val="singleLevel"/>
    <w:tmpl w:val="A0767D02"/>
    <w:lvl w:ilvl="0">
      <w:start w:val="1"/>
      <w:numFmt w:val="bullet"/>
      <w:lvlText w:val=""/>
      <w:lvlJc w:val="left"/>
      <w:pPr>
        <w:ind w:left="420" w:hanging="420"/>
      </w:pPr>
      <w:rPr>
        <w:rFonts w:ascii="Wingdings" w:hAnsi="Wingdings" w:hint="default"/>
      </w:rPr>
    </w:lvl>
  </w:abstractNum>
  <w:abstractNum w:abstractNumId="1">
    <w:nsid w:val="B5E306ED"/>
    <w:multiLevelType w:val="singleLevel"/>
    <w:tmpl w:val="B5E306ED"/>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30"/>
        <w:szCs w:val="30"/>
        <w:u w:val="none"/>
        <w:shd w:val="clear" w:color="auto" w:fill="auto"/>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xOTZkMTgwMDFlYmVhMjc0MGUwMTRiNDNjN2UzODEifQ=="/>
  </w:docVars>
  <w:rsids>
    <w:rsidRoot w:val="005769F4"/>
    <w:rsid w:val="000777D0"/>
    <w:rsid w:val="00085845"/>
    <w:rsid w:val="000F2240"/>
    <w:rsid w:val="001222EB"/>
    <w:rsid w:val="0016789F"/>
    <w:rsid w:val="001A0E9D"/>
    <w:rsid w:val="001B5C71"/>
    <w:rsid w:val="001D2D5B"/>
    <w:rsid w:val="002005FC"/>
    <w:rsid w:val="002026FD"/>
    <w:rsid w:val="00205598"/>
    <w:rsid w:val="0026453F"/>
    <w:rsid w:val="002B022B"/>
    <w:rsid w:val="002E26A2"/>
    <w:rsid w:val="00324DDD"/>
    <w:rsid w:val="003C3A1B"/>
    <w:rsid w:val="004478F1"/>
    <w:rsid w:val="004912D4"/>
    <w:rsid w:val="004C4A0E"/>
    <w:rsid w:val="00517331"/>
    <w:rsid w:val="005769F4"/>
    <w:rsid w:val="00577BAA"/>
    <w:rsid w:val="005D5AD7"/>
    <w:rsid w:val="005E30BB"/>
    <w:rsid w:val="006B38E7"/>
    <w:rsid w:val="00732478"/>
    <w:rsid w:val="007328D9"/>
    <w:rsid w:val="007F7EDA"/>
    <w:rsid w:val="00813DDE"/>
    <w:rsid w:val="00844F47"/>
    <w:rsid w:val="00870C49"/>
    <w:rsid w:val="008F12C3"/>
    <w:rsid w:val="009113FB"/>
    <w:rsid w:val="009F67DC"/>
    <w:rsid w:val="00A31FE9"/>
    <w:rsid w:val="00B226FA"/>
    <w:rsid w:val="00B745BF"/>
    <w:rsid w:val="00BE19B7"/>
    <w:rsid w:val="00BF64A7"/>
    <w:rsid w:val="00C202FF"/>
    <w:rsid w:val="00C704EA"/>
    <w:rsid w:val="00D47987"/>
    <w:rsid w:val="00D912FB"/>
    <w:rsid w:val="00ED16B0"/>
    <w:rsid w:val="00F91DA1"/>
    <w:rsid w:val="010646F7"/>
    <w:rsid w:val="0E8335E0"/>
    <w:rsid w:val="23340FC6"/>
    <w:rsid w:val="24E51CBC"/>
    <w:rsid w:val="29FE42EC"/>
    <w:rsid w:val="46E90F32"/>
    <w:rsid w:val="75242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Bodytext1">
    <w:name w:val="Body text|1"/>
    <w:basedOn w:val="a"/>
    <w:qFormat/>
    <w:pPr>
      <w:spacing w:line="396" w:lineRule="auto"/>
      <w:ind w:firstLine="400"/>
    </w:pPr>
    <w:rPr>
      <w:rFonts w:ascii="宋体" w:eastAsia="宋体" w:hAnsi="宋体" w:cs="宋体"/>
      <w:sz w:val="30"/>
      <w:szCs w:val="30"/>
      <w:lang w:val="zh-TW" w:eastAsia="zh-TW" w:bidi="zh-TW"/>
    </w:rPr>
  </w:style>
  <w:style w:type="paragraph" w:styleId="a6">
    <w:name w:val="List Paragraph"/>
    <w:basedOn w:val="a"/>
    <w:uiPriority w:val="99"/>
    <w:qFormat/>
    <w:pPr>
      <w:ind w:firstLineChars="200" w:firstLine="420"/>
    </w:pPr>
  </w:style>
  <w:style w:type="character" w:customStyle="1" w:styleId="Char">
    <w:name w:val="批注框文本 Char"/>
    <w:basedOn w:val="a0"/>
    <w:link w:val="a3"/>
    <w:uiPriority w:val="99"/>
    <w:semiHidden/>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Bodytext1">
    <w:name w:val="Body text|1"/>
    <w:basedOn w:val="a"/>
    <w:qFormat/>
    <w:pPr>
      <w:spacing w:line="396" w:lineRule="auto"/>
      <w:ind w:firstLine="400"/>
    </w:pPr>
    <w:rPr>
      <w:rFonts w:ascii="宋体" w:eastAsia="宋体" w:hAnsi="宋体" w:cs="宋体"/>
      <w:sz w:val="30"/>
      <w:szCs w:val="30"/>
      <w:lang w:val="zh-TW" w:eastAsia="zh-TW" w:bidi="zh-TW"/>
    </w:rPr>
  </w:style>
  <w:style w:type="paragraph" w:styleId="a6">
    <w:name w:val="List Paragraph"/>
    <w:basedOn w:val="a"/>
    <w:uiPriority w:val="99"/>
    <w:qFormat/>
    <w:pPr>
      <w:ind w:firstLineChars="200" w:firstLine="420"/>
    </w:pPr>
  </w:style>
  <w:style w:type="character" w:customStyle="1" w:styleId="Char">
    <w:name w:val="批注框文本 Char"/>
    <w:basedOn w:val="a0"/>
    <w:link w:val="a3"/>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so.com/s?q=%E7%8E%B0%E4%BB%A3&amp;ie=utf-8&amp;src=internal_wenda_recommend_textn" TargetMode="External"/><Relationship Id="rId13" Type="http://schemas.openxmlformats.org/officeDocument/2006/relationships/hyperlink" Target="http://www.so.com/s?q=%E6%B3%B0%E7%89%B9%E7%BE%8E%E6%9C%AF%E9%A6%86&amp;ie=utf-8&amp;src=internal_wenda_recommend_text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o.com/s?q=%E8%89%BA%E6%9C%AF%E4%B8%AD%E5%BF%83&amp;ie=utf-8&amp;src=internal_wenda_recommend_text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o.com/s?q=%E6%B3%95%E5%9B%BD&amp;ie=utf-8&amp;src=internal_wenda_recommend_text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o.com/s?q=%E7%BA%BD%E7%BA%A6%E7%8E%B0%E4%BB%A3%E7%BE%8E%E6%9C%AF%E9%A6%86&amp;ie=utf-8&amp;src=internal_wenda_recommend_textn" TargetMode="External"/><Relationship Id="rId4" Type="http://schemas.openxmlformats.org/officeDocument/2006/relationships/settings" Target="settings.xml"/><Relationship Id="rId9" Type="http://schemas.openxmlformats.org/officeDocument/2006/relationships/hyperlink" Target="http://www.so.com/s?q=%E8%89%BA%E6%9C%AF%E9%A6%86&amp;ie=utf-8&amp;src=internal_wenda_recommend_text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370</Words>
  <Characters>2110</Characters>
  <Application>Microsoft Office Word</Application>
  <DocSecurity>0</DocSecurity>
  <Lines>17</Lines>
  <Paragraphs>4</Paragraphs>
  <ScaleCrop>false</ScaleCrop>
  <Company/>
  <LinksUpToDate>false</LinksUpToDate>
  <CharactersWithSpaces>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yaocheng luo</dc:creator>
  <cp:lastModifiedBy>13106</cp:lastModifiedBy>
  <cp:revision>33</cp:revision>
  <cp:lastPrinted>2022-07-09T17:16:00Z</cp:lastPrinted>
  <dcterms:created xsi:type="dcterms:W3CDTF">2022-07-09T15:34:00Z</dcterms:created>
  <dcterms:modified xsi:type="dcterms:W3CDTF">2022-09-08T01:28:00Z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20C64D34B9A546EABA5F1817B8F5FF0B</vt:lpwstr>
  </property>
</Properties>
</file>