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eastAsia="宋体" w:cs="宋体"/>
          <w:b/>
          <w:bCs/>
          <w:sz w:val="36"/>
          <w:szCs w:val="36"/>
        </w:rPr>
      </w:pPr>
      <w:r>
        <w:rPr>
          <w:rFonts w:hint="eastAsia" w:ascii="宋体" w:hAnsi="宋体" w:eastAsia="宋体" w:cs="宋体"/>
          <w:b/>
          <w:bCs/>
          <w:sz w:val="36"/>
          <w:szCs w:val="36"/>
        </w:rPr>
        <w:t>上海市职业院校在线开放课程平台数字资源技术说明</w:t>
      </w:r>
      <w:bookmarkStart w:id="9" w:name="_GoBack"/>
      <w:bookmarkEnd w:id="9"/>
    </w:p>
    <w:p>
      <w:pPr>
        <w:spacing w:line="560" w:lineRule="exact"/>
        <w:ind w:firstLine="600" w:firstLineChars="200"/>
        <w:rPr>
          <w:rFonts w:ascii="仿宋_GB2312" w:eastAsia="仿宋_GB2312"/>
          <w:sz w:val="30"/>
          <w:szCs w:val="30"/>
        </w:rPr>
      </w:pPr>
      <w:r>
        <w:rPr>
          <w:rFonts w:hint="eastAsia" w:ascii="仿宋_GB2312" w:eastAsia="仿宋_GB2312"/>
          <w:sz w:val="30"/>
          <w:szCs w:val="30"/>
        </w:rPr>
        <w:t>教学资源应丰富且多样化，根据教学的需要，</w:t>
      </w:r>
      <w:r>
        <w:rPr>
          <w:rFonts w:ascii="仿宋_GB2312" w:eastAsia="仿宋_GB2312"/>
          <w:sz w:val="30"/>
          <w:szCs w:val="30"/>
        </w:rPr>
        <w:t>以学生学习为出发点，</w:t>
      </w:r>
      <w:r>
        <w:rPr>
          <w:rFonts w:hint="eastAsia" w:ascii="仿宋_GB2312" w:eastAsia="仿宋_GB2312"/>
          <w:sz w:val="30"/>
          <w:szCs w:val="30"/>
        </w:rPr>
        <w:t>有针对性地开发多类别、多格式的媒体资源，</w:t>
      </w:r>
      <w:r>
        <w:rPr>
          <w:rFonts w:ascii="仿宋_GB2312" w:eastAsia="仿宋_GB2312"/>
          <w:sz w:val="30"/>
          <w:szCs w:val="30"/>
        </w:rPr>
        <w:t>教学资源</w:t>
      </w:r>
      <w:r>
        <w:rPr>
          <w:rFonts w:hint="eastAsia" w:ascii="仿宋_GB2312" w:eastAsia="仿宋_GB2312"/>
          <w:sz w:val="30"/>
          <w:szCs w:val="30"/>
        </w:rPr>
        <w:t>开发</w:t>
      </w:r>
      <w:r>
        <w:rPr>
          <w:rFonts w:ascii="仿宋_GB2312" w:eastAsia="仿宋_GB2312"/>
          <w:sz w:val="30"/>
          <w:szCs w:val="30"/>
        </w:rPr>
        <w:t>必须要</w:t>
      </w:r>
      <w:r>
        <w:rPr>
          <w:rFonts w:hint="eastAsia" w:ascii="仿宋_GB2312" w:eastAsia="仿宋_GB2312"/>
          <w:sz w:val="30"/>
          <w:szCs w:val="30"/>
        </w:rPr>
        <w:t>有效支持教学重点、难点的突破，</w:t>
      </w:r>
      <w:r>
        <w:rPr>
          <w:rFonts w:ascii="仿宋_GB2312" w:eastAsia="仿宋_GB2312"/>
          <w:sz w:val="30"/>
          <w:szCs w:val="30"/>
        </w:rPr>
        <w:t>支撑教与学过程的</w:t>
      </w:r>
      <w:r>
        <w:rPr>
          <w:rFonts w:hint="eastAsia" w:ascii="仿宋_GB2312" w:eastAsia="仿宋_GB2312"/>
          <w:sz w:val="30"/>
          <w:szCs w:val="30"/>
        </w:rPr>
        <w:t>共性需求及个性化需求</w:t>
      </w:r>
      <w:r>
        <w:rPr>
          <w:rFonts w:ascii="仿宋_GB2312" w:eastAsia="仿宋_GB2312"/>
          <w:sz w:val="30"/>
          <w:szCs w:val="30"/>
        </w:rPr>
        <w:t>。</w:t>
      </w:r>
    </w:p>
    <w:p>
      <w:pPr>
        <w:spacing w:line="560" w:lineRule="exact"/>
        <w:ind w:firstLine="600" w:firstLineChars="200"/>
        <w:rPr>
          <w:rFonts w:ascii="仿宋_GB2312" w:eastAsia="仿宋_GB2312"/>
          <w:sz w:val="30"/>
          <w:szCs w:val="30"/>
        </w:rPr>
      </w:pPr>
      <w:r>
        <w:rPr>
          <w:rFonts w:ascii="仿宋_GB2312" w:eastAsia="仿宋_GB2312"/>
          <w:sz w:val="30"/>
          <w:szCs w:val="30"/>
        </w:rPr>
        <w:t>课程资源包括媒体资源及题目资源，</w:t>
      </w:r>
      <w:r>
        <w:rPr>
          <w:rFonts w:hint="eastAsia" w:ascii="仿宋_GB2312" w:eastAsia="仿宋_GB2312"/>
          <w:sz w:val="30"/>
          <w:szCs w:val="30"/>
        </w:rPr>
        <w:t>媒体资源包括文本类、图形图像类、视频类、音频类、动画类、虚拟仿真类、电子课件类、网页类、电子教材类。目前不建议再开发flash动画，虚拟仿真类资源。如无法直接在本地运行建议提供网络地址。</w:t>
      </w:r>
    </w:p>
    <w:p>
      <w:pPr>
        <w:spacing w:line="560" w:lineRule="exact"/>
        <w:ind w:firstLine="600" w:firstLineChars="200"/>
        <w:rPr>
          <w:rFonts w:ascii="仿宋_GB2312" w:eastAsia="仿宋_GB2312"/>
          <w:sz w:val="30"/>
          <w:szCs w:val="30"/>
        </w:rPr>
      </w:pPr>
      <w:r>
        <w:rPr>
          <w:rFonts w:ascii="仿宋_GB2312" w:eastAsia="仿宋_GB2312"/>
          <w:sz w:val="30"/>
          <w:szCs w:val="30"/>
        </w:rPr>
        <w:t>除了媒体资源外，教学团队需根据在线开放课程的教学目标，开发题目资源，题型可包含但不限于：单选题、多选题、判断题、填空题、论述题、配对题、组合题。</w:t>
      </w:r>
      <w:r>
        <w:rPr>
          <w:rFonts w:hint="eastAsia" w:ascii="仿宋_GB2312" w:eastAsia="仿宋_GB2312"/>
          <w:sz w:val="30"/>
          <w:szCs w:val="30"/>
        </w:rPr>
        <w:t>题目基本信息：包含题干、题型、选项、题目答案及题目解析，需根据题型编辑选项和答案内容。单选题可有多个选项，只有1个答案；多选题可有多个选项和答案；</w:t>
      </w:r>
      <w:r>
        <w:rPr>
          <w:rFonts w:ascii="仿宋_GB2312" w:eastAsia="仿宋_GB2312"/>
          <w:sz w:val="30"/>
          <w:szCs w:val="30"/>
        </w:rPr>
        <w:t>判断题只有正确、错误选项，定义一个答案；</w:t>
      </w:r>
      <w:r>
        <w:rPr>
          <w:rFonts w:hint="eastAsia" w:ascii="仿宋_GB2312" w:eastAsia="仿宋_GB2312"/>
          <w:sz w:val="30"/>
          <w:szCs w:val="30"/>
        </w:rPr>
        <w:t>论述题无选项，参考答案非必填。</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资源源文件文件名中，不要包含：</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&amp;</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&gt;</w:t>
      </w:r>
      <w:r>
        <w:rPr>
          <w:rFonts w:hint="eastAsia" w:ascii="仿宋_GB2312" w:eastAsia="仿宋_GB2312"/>
          <w:sz w:val="30"/>
          <w:szCs w:val="30"/>
        </w:rPr>
        <w:t>、</w:t>
      </w:r>
      <w:r>
        <w:rPr>
          <w:rFonts w:ascii="仿宋_GB2312" w:eastAsia="仿宋_GB2312"/>
          <w:sz w:val="30"/>
          <w:szCs w:val="30"/>
        </w:rPr>
        <w:t>&lt;</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这些特殊符号，若</w:t>
      </w:r>
      <w:r>
        <w:rPr>
          <w:rFonts w:ascii="仿宋_GB2312" w:eastAsia="仿宋_GB2312"/>
          <w:sz w:val="30"/>
          <w:szCs w:val="30"/>
        </w:rPr>
        <w:t>电子课件（PPT）中插入了视频文件，为了确保电子课件上传后，插入的视频文件能够正常播放，插入的视频文件必须为mp4格式（且为H.264编码标准）</w:t>
      </w:r>
    </w:p>
    <w:p>
      <w:pPr>
        <w:spacing w:line="560" w:lineRule="exact"/>
        <w:jc w:val="center"/>
        <w:rPr>
          <w:rFonts w:hint="eastAsia" w:ascii="仿宋_GB2312" w:eastAsia="仿宋_GB2312"/>
          <w:b/>
          <w:bCs/>
          <w:sz w:val="30"/>
          <w:szCs w:val="30"/>
        </w:rPr>
      </w:pPr>
    </w:p>
    <w:p>
      <w:pPr>
        <w:spacing w:line="560" w:lineRule="exact"/>
        <w:jc w:val="center"/>
        <w:rPr>
          <w:rFonts w:ascii="仿宋_GB2312" w:eastAsia="仿宋_GB2312"/>
          <w:b/>
          <w:bCs/>
          <w:sz w:val="30"/>
          <w:szCs w:val="30"/>
        </w:rPr>
      </w:pPr>
    </w:p>
    <w:p>
      <w:pPr>
        <w:spacing w:line="560" w:lineRule="exact"/>
        <w:jc w:val="center"/>
        <w:rPr>
          <w:rFonts w:ascii="仿宋_GB2312" w:eastAsia="仿宋_GB2312"/>
          <w:b/>
          <w:bCs/>
          <w:sz w:val="30"/>
          <w:szCs w:val="30"/>
        </w:rPr>
      </w:pPr>
      <w:r>
        <w:rPr>
          <w:rFonts w:hint="eastAsia" w:ascii="仿宋_GB2312" w:eastAsia="仿宋_GB2312"/>
          <w:b/>
          <w:bCs/>
          <w:sz w:val="30"/>
          <w:szCs w:val="30"/>
        </w:rPr>
        <w:t>教学资源建设的技术标准</w:t>
      </w:r>
    </w:p>
    <w:p>
      <w:pPr>
        <w:spacing w:line="560" w:lineRule="exact"/>
        <w:ind w:firstLine="420"/>
        <w:rPr>
          <w:rFonts w:ascii="仿宋_GB2312" w:eastAsia="仿宋_GB2312"/>
          <w:sz w:val="30"/>
          <w:szCs w:val="30"/>
        </w:rPr>
      </w:pPr>
      <w:r>
        <w:rPr>
          <w:rFonts w:hint="eastAsia" w:ascii="仿宋_GB2312" w:eastAsia="仿宋_GB2312"/>
          <w:sz w:val="30"/>
          <w:szCs w:val="30"/>
        </w:rPr>
        <w:t>为了更有效地建设好</w:t>
      </w:r>
      <w:r>
        <w:rPr>
          <w:rFonts w:ascii="仿宋_GB2312" w:eastAsia="仿宋_GB2312"/>
          <w:sz w:val="30"/>
          <w:szCs w:val="30"/>
        </w:rPr>
        <w:t>在线开放课程教学资源</w:t>
      </w:r>
      <w:r>
        <w:rPr>
          <w:rFonts w:hint="eastAsia" w:ascii="仿宋_GB2312" w:eastAsia="仿宋_GB2312"/>
          <w:sz w:val="30"/>
          <w:szCs w:val="30"/>
        </w:rPr>
        <w:t>，促进各资源系统之间的数据共享，提高</w:t>
      </w:r>
      <w:r>
        <w:rPr>
          <w:rFonts w:ascii="仿宋_GB2312" w:eastAsia="仿宋_GB2312"/>
          <w:sz w:val="30"/>
          <w:szCs w:val="30"/>
        </w:rPr>
        <w:t>教学</w:t>
      </w:r>
      <w:r>
        <w:rPr>
          <w:rFonts w:hint="eastAsia" w:ascii="仿宋_GB2312" w:eastAsia="仿宋_GB2312"/>
          <w:sz w:val="30"/>
          <w:szCs w:val="30"/>
        </w:rPr>
        <w:t>资源检索的效率与准确度，提高</w:t>
      </w:r>
      <w:r>
        <w:rPr>
          <w:rFonts w:ascii="仿宋_GB2312" w:eastAsia="仿宋_GB2312"/>
          <w:sz w:val="30"/>
          <w:szCs w:val="30"/>
        </w:rPr>
        <w:t>在线开放课</w:t>
      </w:r>
      <w:r>
        <w:rPr>
          <w:rFonts w:hint="eastAsia" w:ascii="仿宋_GB2312" w:eastAsia="仿宋_GB2312"/>
          <w:sz w:val="30"/>
          <w:szCs w:val="30"/>
        </w:rPr>
        <w:t>程资源的利用效率，必须实行统一的</w:t>
      </w:r>
      <w:r>
        <w:rPr>
          <w:rFonts w:ascii="仿宋_GB2312" w:eastAsia="仿宋_GB2312"/>
          <w:sz w:val="30"/>
          <w:szCs w:val="30"/>
        </w:rPr>
        <w:t>在线开放课程教学</w:t>
      </w:r>
      <w:r>
        <w:rPr>
          <w:rFonts w:hint="eastAsia" w:ascii="仿宋_GB2312" w:eastAsia="仿宋_GB2312"/>
          <w:sz w:val="30"/>
          <w:szCs w:val="30"/>
        </w:rPr>
        <w:t>资源规范管理。依据教育部CELTS-31《教育资源建设技术规范》</w:t>
      </w:r>
      <w:r>
        <w:rPr>
          <w:rFonts w:ascii="仿宋_GB2312" w:eastAsia="仿宋_GB2312"/>
          <w:sz w:val="30"/>
          <w:szCs w:val="30"/>
        </w:rPr>
        <w:t>教学资源的</w:t>
      </w:r>
      <w:r>
        <w:rPr>
          <w:rFonts w:hint="eastAsia" w:ascii="仿宋_GB2312" w:eastAsia="仿宋_GB2312"/>
          <w:sz w:val="30"/>
          <w:szCs w:val="30"/>
        </w:rPr>
        <w:t>开发、制作均应执行统一标准</w:t>
      </w:r>
      <w:r>
        <w:rPr>
          <w:rFonts w:ascii="仿宋_GB2312" w:eastAsia="仿宋_GB2312"/>
          <w:sz w:val="30"/>
          <w:szCs w:val="30"/>
        </w:rPr>
        <w:t>：</w:t>
      </w:r>
    </w:p>
    <w:p>
      <w:pPr>
        <w:pStyle w:val="10"/>
        <w:ind w:firstLineChars="0"/>
        <w:rPr>
          <w:rFonts w:cs="等线"/>
        </w:rPr>
      </w:pPr>
      <w:bookmarkStart w:id="0" w:name="_Toc531773857"/>
      <w:r>
        <w:rPr>
          <w:rFonts w:hint="eastAsia" w:cs="等线"/>
        </w:rPr>
        <w:t>1. 文本类</w:t>
      </w:r>
      <w:bookmarkEnd w:id="0"/>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软件版本</w:t>
            </w: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文件制作版本不低于当前主流版本，要求上下兼容。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文本正文应设定文章标题，文章标题放在正文内第一行居中的位置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等线" w:hAnsi="等线" w:eastAsia="等线" w:cs="等线"/>
                <w:sz w:val="18"/>
                <w:szCs w:val="18"/>
              </w:rPr>
            </w:pPr>
            <w:r>
              <w:rPr>
                <w:rFonts w:hint="eastAsia" w:ascii="等线" w:hAnsi="等线" w:eastAsia="等线" w:cs="等线"/>
                <w:sz w:val="18"/>
                <w:szCs w:val="18"/>
              </w:rPr>
              <w:t>各级标题应设置正确，同一级标题使用同样的样式，文本结构清晰</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正文字体、字号、颜色、行间距等要美观、统一</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文本超过10页应插入页码；超过15页应插入目录</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表格不应超出页面，且要求使用软件的插入表格或绘制表格等功能生成表格，并使用相应功能加工处理，不要用在文本上描绘直线等绘图方式制作表格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正文中的图像、图形应清晰，图形要符合国家相关绘制标准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尽量不要使用Word绘制插图，而采用插入已保存的图片的方式</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图文混排的方式选择嵌入式</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文档保存时的显示比例为100%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文本如有对齐的要求，要用表格来处理，而不要使用空格来实现</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ascii="等线" w:hAnsi="等线" w:eastAsia="等线" w:cs="等线"/>
                <w:sz w:val="18"/>
                <w:szCs w:val="18"/>
              </w:rPr>
              <w:t>文本</w:t>
            </w:r>
            <w:r>
              <w:rPr>
                <w:rFonts w:hint="eastAsia" w:ascii="等线" w:hAnsi="等线" w:eastAsia="等线" w:cs="等线"/>
                <w:sz w:val="18"/>
                <w:szCs w:val="18"/>
              </w:rPr>
              <w:t>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等线" w:hAnsi="等线" w:eastAsia="等线" w:cs="等线"/>
                <w:sz w:val="18"/>
                <w:szCs w:val="18"/>
              </w:rPr>
            </w:pPr>
            <w:r>
              <w:rPr>
                <w:rFonts w:hint="eastAsia" w:ascii="等线" w:hAnsi="等线" w:eastAsia="等线" w:cs="等线"/>
                <w:sz w:val="18"/>
                <w:szCs w:val="18"/>
              </w:rPr>
              <w:t>文中所用计量符号应符合国家相关标准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cs="等线"/>
                <w:sz w:val="18"/>
                <w:szCs w:val="18"/>
              </w:rPr>
              <w:t>格式</w:t>
            </w:r>
          </w:p>
        </w:tc>
        <w:tc>
          <w:tcPr>
            <w:tcW w:w="6946"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left"/>
              <w:rPr>
                <w:rFonts w:cs="等线"/>
                <w:sz w:val="18"/>
                <w:szCs w:val="18"/>
              </w:rPr>
            </w:pPr>
            <w:r>
              <w:rPr>
                <w:rFonts w:cs="等线"/>
                <w:sz w:val="18"/>
                <w:szCs w:val="18"/>
              </w:rPr>
              <w:t>存储格式为</w:t>
            </w:r>
            <w:r>
              <w:rPr>
                <w:rFonts w:hint="eastAsia" w:cs="等线"/>
                <w:sz w:val="18"/>
                <w:szCs w:val="18"/>
              </w:rPr>
              <w:t>*.doc、*.docx、*.pdf、*.xls</w:t>
            </w:r>
            <w:r>
              <w:rPr>
                <w:rFonts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bl>
    <w:p>
      <w:pPr>
        <w:jc w:val="center"/>
        <w:rPr>
          <w:rFonts w:ascii="黑体" w:hAnsi="黑体" w:eastAsia="黑体" w:cs="Adobe 黑体 Std"/>
          <w:sz w:val="20"/>
          <w:szCs w:val="21"/>
        </w:rPr>
      </w:pPr>
      <w:bookmarkStart w:id="1" w:name="_Toc531773858"/>
      <w:r>
        <w:rPr>
          <w:rFonts w:ascii="黑体" w:hAnsi="黑体" w:eastAsia="黑体" w:cs="Adobe 黑体 Std"/>
          <w:sz w:val="20"/>
          <w:szCs w:val="21"/>
        </w:rPr>
        <w:t>表1 文本资源技术要求</w:t>
      </w:r>
    </w:p>
    <w:p>
      <w:pPr>
        <w:pStyle w:val="10"/>
        <w:ind w:firstLineChars="0"/>
        <w:rPr>
          <w:rFonts w:cs="等线"/>
        </w:rPr>
      </w:pPr>
      <w:r>
        <w:rPr>
          <w:rFonts w:hint="eastAsia" w:cs="等线"/>
        </w:rPr>
        <w:t>2. 图形/图像类</w:t>
      </w:r>
      <w:bookmarkEnd w:id="1"/>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宋体" w:hAnsi="宋体" w:eastAsia="等线"/>
                <w:b/>
                <w:bCs/>
                <w:sz w:val="18"/>
                <w:szCs w:val="18"/>
              </w:rPr>
            </w:pPr>
            <w:r>
              <w:rPr>
                <w:rFonts w:hint="eastAsia" w:ascii="宋体" w:hAnsi="宋体" w:eastAsia="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宋体" w:hAnsi="宋体" w:eastAsia="等线"/>
                <w:b/>
                <w:bCs/>
                <w:sz w:val="18"/>
                <w:szCs w:val="18"/>
              </w:rPr>
            </w:pPr>
            <w:r>
              <w:rPr>
                <w:rFonts w:hint="eastAsia" w:ascii="宋体" w:hAnsi="宋体" w:eastAsia="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等线"/>
                <w:sz w:val="18"/>
                <w:szCs w:val="18"/>
              </w:rPr>
            </w:pPr>
            <w:r>
              <w:rPr>
                <w:rFonts w:hint="eastAsia" w:ascii="宋体" w:hAnsi="宋体" w:eastAsia="等线"/>
                <w:sz w:val="18"/>
                <w:szCs w:val="18"/>
              </w:rPr>
              <w:t>色彩</w:t>
            </w: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等线"/>
                <w:sz w:val="18"/>
                <w:szCs w:val="18"/>
              </w:rPr>
            </w:pPr>
            <w:r>
              <w:rPr>
                <w:rFonts w:hint="eastAsia" w:ascii="宋体" w:hAnsi="宋体" w:eastAsia="等线"/>
                <w:sz w:val="18"/>
                <w:szCs w:val="18"/>
              </w:rPr>
              <w:t>彩色图像颜色数不低于真彩（24位色），灰度图像的灰度级不低于256级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等线"/>
                <w:sz w:val="18"/>
                <w:szCs w:val="18"/>
              </w:rPr>
            </w:pPr>
            <w:r>
              <w:rPr>
                <w:rFonts w:hint="eastAsia" w:ascii="宋体" w:hAnsi="宋体" w:eastAsia="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等线"/>
                <w:sz w:val="18"/>
                <w:szCs w:val="18"/>
              </w:rPr>
            </w:pP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等线"/>
                <w:sz w:val="18"/>
                <w:szCs w:val="18"/>
              </w:rPr>
            </w:pPr>
            <w:r>
              <w:rPr>
                <w:rFonts w:hint="eastAsia" w:ascii="宋体" w:hAnsi="宋体" w:eastAsia="等线"/>
                <w:sz w:val="18"/>
                <w:szCs w:val="18"/>
              </w:rPr>
              <w:t>图形可以为单色</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等线"/>
                <w:sz w:val="18"/>
                <w:szCs w:val="18"/>
              </w:rPr>
            </w:pPr>
            <w:r>
              <w:rPr>
                <w:rFonts w:hint="eastAsia" w:ascii="宋体" w:hAnsi="宋体" w:eastAsia="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分辨率</w:t>
            </w: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屏幕分辨率不低于1024×768时，扫描图像的扫描分辨率不低于72dpi，彩色扫描图像的扫描分辨率不低于150dpi</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清晰度</w:t>
            </w: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图像内容清晰可辨识，不需要借助额外的设备即可辨认图片资源所需要表达的主体内容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所有图像扫描后，需要使用Photoshop或其他图像处理软件进行裁剪、校色、去污、纠偏等处理，使页面整洁、清晰</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内容</w:t>
            </w:r>
          </w:p>
        </w:tc>
        <w:tc>
          <w:tcPr>
            <w:tcW w:w="7059"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图形/图像内容符合我国法律法规，尊重各民族的风俗习惯，版权不存在争议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cs="等线"/>
                <w:sz w:val="18"/>
                <w:szCs w:val="18"/>
              </w:rPr>
              <w:t>格式</w:t>
            </w:r>
          </w:p>
        </w:tc>
        <w:tc>
          <w:tcPr>
            <w:tcW w:w="7059"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left"/>
              <w:rPr>
                <w:rFonts w:cs="等线"/>
                <w:sz w:val="18"/>
                <w:szCs w:val="18"/>
              </w:rPr>
            </w:pPr>
            <w:r>
              <w:rPr>
                <w:rFonts w:cs="等线"/>
                <w:sz w:val="18"/>
                <w:szCs w:val="18"/>
              </w:rPr>
              <w:t>存储格式为</w:t>
            </w:r>
            <w:r>
              <w:rPr>
                <w:rFonts w:hint="eastAsia" w:cs="等线"/>
                <w:sz w:val="18"/>
                <w:szCs w:val="18"/>
              </w:rPr>
              <w:t>*.jpeg、*.png、*.gif、*.tiff</w:t>
            </w:r>
            <w:r>
              <w:rPr>
                <w:rFonts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bl>
    <w:p>
      <w:pPr>
        <w:jc w:val="center"/>
        <w:rPr>
          <w:rFonts w:ascii="黑体" w:hAnsi="黑体" w:eastAsia="黑体" w:cs="Adobe 黑体 Std"/>
          <w:sz w:val="20"/>
          <w:szCs w:val="21"/>
        </w:rPr>
      </w:pPr>
      <w:bookmarkStart w:id="2" w:name="_Toc531773859"/>
      <w:r>
        <w:rPr>
          <w:rFonts w:ascii="黑体" w:hAnsi="黑体" w:eastAsia="黑体" w:cs="Adobe 黑体 Std"/>
          <w:sz w:val="20"/>
          <w:szCs w:val="21"/>
        </w:rPr>
        <w:t>表2 图形/图像技术要求</w:t>
      </w:r>
    </w:p>
    <w:p>
      <w:pPr>
        <w:pStyle w:val="10"/>
        <w:ind w:firstLineChars="0"/>
        <w:rPr>
          <w:rFonts w:cs="等线"/>
        </w:rPr>
      </w:pPr>
      <w:r>
        <w:rPr>
          <w:rFonts w:hint="eastAsia" w:cs="等线"/>
        </w:rPr>
        <w:t>3. 音频类</w:t>
      </w:r>
      <w:bookmarkEnd w:id="2"/>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音乐类音频的采样频率不低于44.1kHz，语音类音频的采样频率不低于22.05kHz</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量化位数大于8位。码率不低于128Kbps</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声道数为双声道</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配音</w:t>
            </w:r>
          </w:p>
          <w:p>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语音采用标准的普通话、美式或英式英语配音，特殊语言学习和材料除外。使用适合教学的语调</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质量</w:t>
            </w:r>
          </w:p>
          <w:p>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音频播放流畅。声音清晰，噪音低，回响小，无失真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音频内容符合我国法律法规，尊重各民族的风俗习惯，版权不存在争议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cs="等线"/>
                <w:sz w:val="18"/>
                <w:szCs w:val="18"/>
              </w:rPr>
              <w:t>格式</w:t>
            </w:r>
          </w:p>
        </w:tc>
        <w:tc>
          <w:tcPr>
            <w:tcW w:w="723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left"/>
              <w:rPr>
                <w:rFonts w:cs="等线"/>
                <w:sz w:val="18"/>
                <w:szCs w:val="18"/>
              </w:rPr>
            </w:pPr>
            <w:r>
              <w:rPr>
                <w:rFonts w:cs="等线"/>
                <w:sz w:val="18"/>
                <w:szCs w:val="18"/>
              </w:rPr>
              <w:t>存储格式为</w:t>
            </w:r>
            <w:r>
              <w:rPr>
                <w:rFonts w:hint="eastAsia" w:cs="等线"/>
                <w:sz w:val="18"/>
                <w:szCs w:val="18"/>
              </w:rPr>
              <w:t>*.mp3、*.wma</w:t>
            </w:r>
            <w:r>
              <w:rPr>
                <w:rFonts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bl>
    <w:p>
      <w:pPr>
        <w:jc w:val="center"/>
        <w:rPr>
          <w:rFonts w:ascii="黑体" w:hAnsi="黑体" w:eastAsia="黑体" w:cs="Adobe 黑体 Std"/>
          <w:sz w:val="20"/>
          <w:szCs w:val="21"/>
        </w:rPr>
      </w:pPr>
      <w:bookmarkStart w:id="3" w:name="_Toc531773860"/>
      <w:r>
        <w:rPr>
          <w:rFonts w:ascii="黑体" w:hAnsi="黑体" w:eastAsia="黑体" w:cs="Adobe 黑体 Std"/>
          <w:sz w:val="20"/>
          <w:szCs w:val="21"/>
        </w:rPr>
        <w:t>表3 音频文件技术要求</w:t>
      </w:r>
    </w:p>
    <w:p>
      <w:pPr>
        <w:pStyle w:val="10"/>
        <w:ind w:firstLineChars="0"/>
        <w:rPr>
          <w:rFonts w:cs="等线"/>
        </w:rPr>
      </w:pPr>
      <w:r>
        <w:rPr>
          <w:rFonts w:hint="eastAsia" w:cs="等线"/>
        </w:rPr>
        <w:t>4. 视频类</w:t>
      </w:r>
      <w:bookmarkEnd w:id="3"/>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21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1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等线" w:hAnsi="等线" w:eastAsia="等线" w:cs="等线"/>
                <w:sz w:val="18"/>
                <w:szCs w:val="18"/>
              </w:rPr>
            </w:pPr>
            <w:r>
              <w:rPr>
                <w:rFonts w:ascii="等线" w:hAnsi="等线" w:eastAsia="等线" w:cs="等线"/>
                <w:sz w:val="18"/>
                <w:szCs w:val="18"/>
              </w:rPr>
              <w:t>建议</w:t>
            </w:r>
            <w:r>
              <w:rPr>
                <w:rFonts w:hint="eastAsia" w:ascii="等线" w:hAnsi="等线" w:eastAsia="等线" w:cs="等线"/>
                <w:sz w:val="18"/>
                <w:szCs w:val="18"/>
              </w:rPr>
              <w:t>分辨率不低于1024*768（4:3）或者1280*720（16:9）</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音频要求</w:t>
            </w: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文内容音频信号记录于第1声道，音乐、音效、同期声记录于第2声道，若有其他文字解说记录于第3声道（如录音设备无第3声道，则录于第2声道）</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-2db～-8db声音无明显失真、放音过冲、过弱</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音频信噪比不低于48db</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声音和画面要求同步，无交流声或其他杂音等缺陷</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伴音清晰、饱满、圆润，无失真、噪声杂音干扰、音量忽大忽小现象。解说声与现场声无明显比例失调，解说声与背景音乐无明显比例失调</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字幕要求</w:t>
            </w: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独立的SRT格式的文字文件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每屏只有一行文字，并保持每屏文字出现位置一致</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字幕清晰美观，能正确有效地传达信息。字幕尽可能少，在节目中的停留时间以能看清楚为准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画面要求</w:t>
            </w: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视频类素材每帧图像颜色数不低于256色或灰度级不低于128级。彩色视频素材每帧图像颜色均为真彩</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视频图像清晰，播放时没有明显的噪点，播放流畅。图像信噪比不低于55dB，无明显杂波。全片图像同步性能稳定，无失步现象，CTL同步控制信号必须连续：图像无抖动跳跃，色彩无突变，编辑点图像稳定。</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白平衡正确，无明显偏色，多机拍摄的镜头衔接处无明显色差。视频全讯号幅度为1Vp-p，最大不超过1.1Vp-p。其中，消隐电平为0V时，白电平幅度0.7Vp-p，同步信号-0.3V，色同步信号幅度0.3Vp-p（以消隐线上下对称），全片一致</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音频与视频图像有良好的同步，音频部分应符合音频素材的质量要求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视频内容符合我国法律法规，尊重各民族的风俗习惯，版权不存在争议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若其中包含少数民族或外国语言文字信息，应遵循其原内容完整性，使用原语言处理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cs="等线"/>
                <w:sz w:val="18"/>
                <w:szCs w:val="18"/>
              </w:rPr>
              <w:t>格式</w:t>
            </w:r>
          </w:p>
        </w:tc>
        <w:tc>
          <w:tcPr>
            <w:tcW w:w="7211"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left"/>
              <w:rPr>
                <w:rFonts w:cs="等线"/>
                <w:sz w:val="18"/>
                <w:szCs w:val="18"/>
              </w:rPr>
            </w:pPr>
            <w:r>
              <w:rPr>
                <w:rFonts w:cs="等线"/>
                <w:sz w:val="18"/>
                <w:szCs w:val="18"/>
              </w:rPr>
              <w:t>存储格式为*.</w:t>
            </w:r>
            <w:r>
              <w:rPr>
                <w:rFonts w:hint="eastAsia" w:cs="等线"/>
                <w:sz w:val="18"/>
                <w:szCs w:val="18"/>
              </w:rPr>
              <w:t>mp4</w:t>
            </w:r>
            <w:r>
              <w:rPr>
                <w:rFonts w:cs="等线"/>
                <w:sz w:val="18"/>
                <w:szCs w:val="18"/>
              </w:rPr>
              <w:t>、*.</w:t>
            </w:r>
            <w:r>
              <w:rPr>
                <w:rFonts w:hint="eastAsia" w:cs="等线"/>
                <w:sz w:val="18"/>
                <w:szCs w:val="18"/>
              </w:rPr>
              <w:t>rm</w:t>
            </w:r>
            <w:r>
              <w:rPr>
                <w:rFonts w:cs="等线"/>
                <w:sz w:val="18"/>
                <w:szCs w:val="18"/>
              </w:rPr>
              <w:t>、*.</w:t>
            </w:r>
            <w:r>
              <w:rPr>
                <w:rFonts w:hint="eastAsia" w:cs="等线"/>
                <w:sz w:val="18"/>
                <w:szCs w:val="18"/>
              </w:rPr>
              <w:t xml:space="preserve"> rmvb</w:t>
            </w:r>
            <w:r>
              <w:rPr>
                <w:rFonts w:cs="等线"/>
                <w:sz w:val="18"/>
                <w:szCs w:val="18"/>
              </w:rPr>
              <w:t>、*.</w:t>
            </w:r>
            <w:r>
              <w:rPr>
                <w:rFonts w:hint="eastAsia" w:cs="等线"/>
                <w:sz w:val="18"/>
                <w:szCs w:val="18"/>
              </w:rPr>
              <w:t xml:space="preserve"> flv</w:t>
            </w:r>
            <w:r>
              <w:rPr>
                <w:rFonts w:cs="等线"/>
                <w:sz w:val="18"/>
                <w:szCs w:val="18"/>
              </w:rPr>
              <w:t>、*.</w:t>
            </w:r>
            <w:r>
              <w:rPr>
                <w:rFonts w:hint="eastAsia" w:cs="等线"/>
                <w:sz w:val="18"/>
                <w:szCs w:val="18"/>
              </w:rPr>
              <w:t>asf</w:t>
            </w:r>
            <w:r>
              <w:rPr>
                <w:rFonts w:cs="等线"/>
                <w:sz w:val="18"/>
                <w:szCs w:val="18"/>
              </w:rPr>
              <w:t>、*.</w:t>
            </w:r>
            <w:r>
              <w:rPr>
                <w:rFonts w:hint="eastAsia" w:cs="等线"/>
                <w:sz w:val="18"/>
                <w:szCs w:val="18"/>
              </w:rPr>
              <w:t>mkv</w:t>
            </w:r>
            <w:r>
              <w:rPr>
                <w:rFonts w:cs="等线"/>
                <w:sz w:val="18"/>
                <w:szCs w:val="18"/>
              </w:rPr>
              <w:t>、*.</w:t>
            </w:r>
            <w:r>
              <w:rPr>
                <w:rFonts w:hint="eastAsia" w:cs="等线"/>
                <w:sz w:val="18"/>
                <w:szCs w:val="18"/>
              </w:rPr>
              <w:t>mov</w:t>
            </w:r>
            <w:r>
              <w:rPr>
                <w:rFonts w:cs="等线"/>
                <w:sz w:val="18"/>
                <w:szCs w:val="18"/>
              </w:rPr>
              <w:t>、*.</w:t>
            </w:r>
            <w:r>
              <w:rPr>
                <w:rFonts w:hint="eastAsia" w:cs="等线"/>
                <w:sz w:val="18"/>
                <w:szCs w:val="18"/>
              </w:rPr>
              <w:t>3gp</w:t>
            </w:r>
            <w:r>
              <w:rPr>
                <w:rFonts w:cs="等线"/>
                <w:sz w:val="18"/>
                <w:szCs w:val="18"/>
              </w:rPr>
              <w:t>、</w:t>
            </w:r>
            <w:r>
              <w:rPr>
                <w:rFonts w:hint="eastAsia" w:cs="等线"/>
                <w:sz w:val="18"/>
                <w:szCs w:val="18"/>
              </w:rPr>
              <w:t xml:space="preserve"> </w:t>
            </w:r>
            <w:r>
              <w:rPr>
                <w:rFonts w:cs="等线"/>
                <w:sz w:val="18"/>
                <w:szCs w:val="18"/>
              </w:rPr>
              <w:t>*.</w:t>
            </w:r>
            <w:r>
              <w:rPr>
                <w:rFonts w:hint="eastAsia" w:cs="等线"/>
                <w:sz w:val="18"/>
                <w:szCs w:val="18"/>
              </w:rPr>
              <w:t>wmv</w:t>
            </w:r>
            <w:r>
              <w:rPr>
                <w:rFonts w:cs="等线"/>
                <w:sz w:val="18"/>
                <w:szCs w:val="18"/>
              </w:rPr>
              <w:t>、*.</w:t>
            </w:r>
            <w:r>
              <w:rPr>
                <w:rFonts w:hint="eastAsia" w:cs="等线"/>
                <w:sz w:val="18"/>
                <w:szCs w:val="18"/>
              </w:rPr>
              <w:t>mpg</w:t>
            </w:r>
            <w:r>
              <w:rPr>
                <w:rFonts w:cs="等线"/>
                <w:sz w:val="18"/>
                <w:szCs w:val="18"/>
              </w:rPr>
              <w:t>、*.</w:t>
            </w:r>
            <w:r>
              <w:rPr>
                <w:rFonts w:hint="eastAsia" w:cs="等线"/>
                <w:sz w:val="18"/>
                <w:szCs w:val="18"/>
              </w:rPr>
              <w:t>avi</w:t>
            </w:r>
            <w:r>
              <w:rPr>
                <w:rFonts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bl>
    <w:p>
      <w:pPr>
        <w:jc w:val="center"/>
        <w:rPr>
          <w:rFonts w:ascii="黑体" w:hAnsi="黑体" w:eastAsia="黑体" w:cs="Adobe 黑体 Std"/>
          <w:sz w:val="20"/>
          <w:szCs w:val="21"/>
        </w:rPr>
      </w:pPr>
      <w:bookmarkStart w:id="4" w:name="_Toc531773861"/>
      <w:r>
        <w:rPr>
          <w:rFonts w:ascii="黑体" w:hAnsi="黑体" w:eastAsia="黑体" w:cs="Adobe 黑体 Std"/>
          <w:sz w:val="20"/>
          <w:szCs w:val="21"/>
        </w:rPr>
        <w:t>表4 视频文件技术要求</w:t>
      </w:r>
    </w:p>
    <w:p>
      <w:pPr>
        <w:pStyle w:val="10"/>
        <w:ind w:firstLineChars="0"/>
        <w:rPr>
          <w:rFonts w:cs="等线"/>
        </w:rPr>
      </w:pPr>
      <w:r>
        <w:rPr>
          <w:rFonts w:hint="eastAsia" w:cs="等线"/>
        </w:rPr>
        <w:t>5. 动画类</w:t>
      </w:r>
      <w:bookmarkEnd w:id="4"/>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动画的开始要有醒目的标题，标题要能够体现动画所表现的内容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动画中如果有文字，文字要醒目，文字的字体、字号与内容协调，字体颜色避免与背景色相近</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动画色彩造型应和谐，画面简洁清晰，界面友好，交互设计合理，操作简单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动画连续，节奏合适，帧和帧之间的关联性要强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如果有解说，配音应标准，无噪音，声音悦耳，音量适当，快慢适度，并提供控制解说的开关</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动画如果有背景音乐，背景音乐音量不宜过大，音乐与内容相符，并提供控制开关</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动画演播过程要流畅，静止画面时间不超过5秒钟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一般情况下，应设置暂停与播放控制按钮，当动画时间较长时应设置进度拖动条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若其中包含少数民族或外国语言文字信息，应遵循其原内容完整性，使用原语言处理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网页动画</w:t>
            </w:r>
            <w:r>
              <w:rPr>
                <w:rFonts w:ascii="等线" w:hAnsi="等线" w:eastAsia="等线" w:cs="等线"/>
                <w:sz w:val="18"/>
                <w:szCs w:val="18"/>
              </w:rPr>
              <w:t>：</w:t>
            </w:r>
            <w:r>
              <w:rPr>
                <w:rFonts w:hint="eastAsia" w:ascii="等线" w:hAnsi="等线" w:eastAsia="等线" w:cs="等线"/>
                <w:sz w:val="18"/>
                <w:szCs w:val="18"/>
              </w:rPr>
              <w:t>html5+javascript</w:t>
            </w:r>
          </w:p>
          <w:p>
            <w:pPr>
              <w:spacing w:line="276" w:lineRule="auto"/>
              <w:rPr>
                <w:rFonts w:ascii="等线" w:hAnsi="等线" w:eastAsia="等线" w:cs="等线"/>
                <w:sz w:val="18"/>
                <w:szCs w:val="18"/>
              </w:rPr>
            </w:pPr>
            <w:r>
              <w:rPr>
                <w:rFonts w:hint="eastAsia" w:ascii="等线" w:hAnsi="等线" w:eastAsia="等线" w:cs="等线"/>
                <w:sz w:val="18"/>
                <w:szCs w:val="18"/>
              </w:rPr>
              <w:t>三维动画（模型）</w:t>
            </w:r>
            <w:r>
              <w:rPr>
                <w:rFonts w:ascii="等线" w:hAnsi="等线" w:eastAsia="等线" w:cs="等线"/>
                <w:sz w:val="18"/>
                <w:szCs w:val="18"/>
              </w:rPr>
              <w:t>：格式</w:t>
            </w:r>
            <w:r>
              <w:rPr>
                <w:rFonts w:hint="eastAsia" w:ascii="等线" w:hAnsi="等线" w:eastAsia="等线" w:cs="等线"/>
                <w:sz w:val="18"/>
                <w:szCs w:val="18"/>
              </w:rPr>
              <w:t>不限</w:t>
            </w:r>
            <w:r>
              <w:rPr>
                <w:rFonts w:ascii="等线" w:hAnsi="等线" w:eastAsia="等线" w:cs="等线"/>
                <w:sz w:val="18"/>
                <w:szCs w:val="18"/>
              </w:rPr>
              <w:t>（</w:t>
            </w:r>
            <w:r>
              <w:rPr>
                <w:rFonts w:hint="eastAsia" w:ascii="等线" w:hAnsi="等线" w:eastAsia="等线" w:cs="等线"/>
                <w:sz w:val="18"/>
                <w:szCs w:val="18"/>
              </w:rPr>
              <w:t>AutoCAD、Maya、Unity3D等制作软件</w:t>
            </w:r>
            <w:r>
              <w:rPr>
                <w:rFonts w:ascii="等线" w:hAnsi="等线" w:eastAsia="等线" w:cs="等线"/>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pPr>
        <w:jc w:val="center"/>
        <w:rPr>
          <w:rFonts w:ascii="黑体" w:hAnsi="黑体" w:eastAsia="黑体" w:cs="Adobe 黑体 Std"/>
          <w:sz w:val="20"/>
          <w:szCs w:val="21"/>
        </w:rPr>
      </w:pPr>
      <w:bookmarkStart w:id="5" w:name="_Toc531773862"/>
      <w:r>
        <w:rPr>
          <w:rFonts w:hint="eastAsia" w:ascii="黑体" w:hAnsi="黑体" w:eastAsia="黑体" w:cs="Adobe 黑体 Std"/>
          <w:sz w:val="20"/>
          <w:szCs w:val="21"/>
        </w:rPr>
        <w:t>表</w:t>
      </w:r>
      <w:r>
        <w:rPr>
          <w:rFonts w:ascii="黑体" w:hAnsi="黑体" w:eastAsia="黑体" w:cs="Adobe 黑体 Std"/>
          <w:sz w:val="20"/>
          <w:szCs w:val="21"/>
        </w:rPr>
        <w:t>5</w:t>
      </w:r>
      <w:r>
        <w:rPr>
          <w:rFonts w:hint="eastAsia" w:ascii="黑体" w:hAnsi="黑体" w:eastAsia="黑体" w:cs="Adobe 黑体 Std"/>
          <w:sz w:val="20"/>
          <w:szCs w:val="21"/>
        </w:rPr>
        <w:t xml:space="preserve"> 动画文件技术要求</w:t>
      </w:r>
    </w:p>
    <w:p>
      <w:pPr>
        <w:pStyle w:val="10"/>
        <w:ind w:firstLineChars="0"/>
        <w:rPr>
          <w:rFonts w:cs="等线"/>
        </w:rPr>
      </w:pPr>
      <w:r>
        <w:rPr>
          <w:rFonts w:hint="eastAsia" w:cs="等线"/>
        </w:rPr>
        <w:t>6. 虚拟仿真类</w:t>
      </w:r>
      <w:bookmarkEnd w:id="5"/>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应具有漫游（职业场景、设施设备）、演示（操作规程、安全禁忌）、互动（设备拆装、仪器操作）、考核（过程操作、故障排除）中的一种或多种功能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内容符合职业标准、技术规范、业务规程和行业属性，无科学性错误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内容符合我国法律法规，尊重各民族风俗习惯，版权不存在争议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若其中包含少数民族或外国语言文字信息，应遵循其原内容完整性，使用原语言进行处理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有明确的版权标识信息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品质</w:t>
            </w:r>
          </w:p>
          <w:p>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画面逼真，色彩、形状、声音、位置等高度符合实物的特征</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界面友好，交互设计合理，操作简单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如有解说，配音应标准，无噪音，声音悦耳，音量</w:t>
            </w:r>
            <w:r>
              <w:rPr>
                <w:rFonts w:ascii="等线" w:hAnsi="等线" w:eastAsia="等线" w:cs="等线"/>
                <w:sz w:val="18"/>
                <w:szCs w:val="18"/>
              </w:rPr>
              <w:t>、</w:t>
            </w:r>
            <w:r>
              <w:rPr>
                <w:rFonts w:hint="eastAsia" w:ascii="等线" w:hAnsi="等线" w:eastAsia="等线" w:cs="等线"/>
                <w:sz w:val="18"/>
                <w:szCs w:val="18"/>
              </w:rPr>
              <w:t>快慢适度，并提供解说控制开关</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如果有背景音乐，背景音乐音量不宜过大，音乐与内容相符，并提供控制开关</w:t>
            </w:r>
          </w:p>
        </w:tc>
        <w:tc>
          <w:tcPr>
            <w:tcW w:w="850" w:type="dxa"/>
            <w:tcBorders>
              <w:top w:val="single" w:color="auto" w:sz="4" w:space="0"/>
              <w:left w:val="single" w:color="auto" w:sz="4" w:space="0"/>
              <w:bottom w:val="single" w:color="auto" w:sz="4" w:space="0"/>
              <w:right w:val="single" w:color="auto" w:sz="4" w:space="0"/>
            </w:tcBorders>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ascii="等线" w:hAnsi="等线" w:eastAsia="等线" w:cs="等线"/>
                <w:sz w:val="18"/>
                <w:szCs w:val="18"/>
              </w:rPr>
              <w:t>格式不限，</w:t>
            </w:r>
            <w:r>
              <w:rPr>
                <w:rFonts w:hint="eastAsia" w:ascii="等线" w:hAnsi="等线" w:eastAsia="等线" w:cs="等线"/>
                <w:sz w:val="18"/>
                <w:szCs w:val="18"/>
              </w:rPr>
              <w:t>可以有多种开发平台，如三维的Virtools、Quest3D、Vrp，二维的Flash等，因此允许多种格式，但应能在一般环境下运行</w:t>
            </w:r>
          </w:p>
        </w:tc>
        <w:tc>
          <w:tcPr>
            <w:tcW w:w="850" w:type="dxa"/>
            <w:tcBorders>
              <w:top w:val="single" w:color="auto" w:sz="4" w:space="0"/>
              <w:left w:val="single" w:color="auto" w:sz="4" w:space="0"/>
              <w:bottom w:val="single" w:color="auto" w:sz="4" w:space="0"/>
              <w:right w:val="single" w:color="auto" w:sz="4" w:space="0"/>
            </w:tcBorders>
          </w:tcPr>
          <w:p>
            <w:pPr>
              <w:spacing w:line="276" w:lineRule="auto"/>
              <w:jc w:val="center"/>
              <w:rPr>
                <w:rFonts w:ascii="等线" w:hAnsi="等线" w:eastAsia="等线" w:cs="等线"/>
                <w:sz w:val="18"/>
                <w:szCs w:val="18"/>
              </w:rPr>
            </w:pPr>
            <w:r>
              <w:rPr>
                <w:rFonts w:ascii="等线" w:hAnsi="等线" w:eastAsia="等线" w:cs="等线"/>
                <w:sz w:val="18"/>
                <w:szCs w:val="18"/>
              </w:rPr>
              <w:t>必选项</w:t>
            </w:r>
          </w:p>
        </w:tc>
      </w:tr>
    </w:tbl>
    <w:p>
      <w:pPr>
        <w:jc w:val="center"/>
        <w:rPr>
          <w:rFonts w:ascii="黑体" w:hAnsi="黑体" w:eastAsia="黑体" w:cs="Adobe 黑体 Std"/>
          <w:sz w:val="20"/>
          <w:szCs w:val="21"/>
        </w:rPr>
      </w:pPr>
      <w:bookmarkStart w:id="6" w:name="_Toc531773863"/>
      <w:r>
        <w:rPr>
          <w:rFonts w:ascii="黑体" w:hAnsi="黑体" w:eastAsia="黑体" w:cs="Adobe 黑体 Std"/>
          <w:sz w:val="20"/>
          <w:szCs w:val="21"/>
        </w:rPr>
        <w:t>表6 虚拟仿真类文件技术要求</w:t>
      </w:r>
    </w:p>
    <w:p>
      <w:pPr>
        <w:pStyle w:val="10"/>
        <w:ind w:firstLineChars="0"/>
        <w:rPr>
          <w:rFonts w:cs="等线"/>
        </w:rPr>
      </w:pPr>
      <w:r>
        <w:rPr>
          <w:rFonts w:hint="eastAsia" w:cs="等线"/>
        </w:rPr>
        <w:t>7. 电子课件类</w:t>
      </w:r>
      <w:bookmarkEnd w:id="6"/>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模板应用</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模板朴素、大方，颜色适宜，便于长时间观看；在模板的适当位置标明课程名称、模块（章或节）序号与模块（章或节）的名称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多个页面均有的相同元素，如背景、按钮、标题、页码等，可以使用幻灯片母版来实现</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板式设计</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页面设计的原则是版面内容的分布美观大方</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每页版面的字数不宜太多，避免使用仿宋、细圆等过细字体，不使用特殊字体，如有特殊字体需要转化为图形文件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文字要醒目，避免使用与背景色相近的字体颜色</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页面文字行距建议不低于1.2倍，左右边距均匀、适当</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恰当使用组合，某些插图中位置相对固定的文本框、数学公式以及图片等应采用组合方式，避免产生相对位移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尽量避免不必要的组合，不同对象、文本的动作需要同时出现时，</w:t>
            </w:r>
            <w:r>
              <w:rPr>
                <w:rFonts w:ascii="等线" w:hAnsi="等线" w:eastAsia="等线" w:cs="等线"/>
                <w:sz w:val="18"/>
                <w:szCs w:val="18"/>
              </w:rPr>
              <w:t>可设置</w:t>
            </w:r>
            <w:r>
              <w:rPr>
                <w:rFonts w:hint="eastAsia" w:ascii="等线" w:hAnsi="等线" w:eastAsia="等线" w:cs="等线"/>
                <w:sz w:val="18"/>
                <w:szCs w:val="18"/>
              </w:rPr>
              <w:t>彼此之间的时间间隔为0秒</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各级标题采用不同的字体和颜色，一张幻灯片上文字颜色限定在4种以内，注意文字与背景色的反差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动画</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不宜出现不必要的动画效果，不使用随机效果</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动画连续，节奏合适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导航设计</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文件内链接都采用相对链接，并能够正常打开</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文件中链接或插入的其他素材满足本章内容中关于媒体素材的技术要求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使用超级链接时，要在目标页面有“返回”按钮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鼠标移至按钮上时要求显示出该按钮的操作提示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不同位置使用的导航按钮保持风格一致或使用相同的按钮</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pPr>
              <w:spacing w:line="276" w:lineRule="auto"/>
              <w:jc w:val="left"/>
              <w:rPr>
                <w:rFonts w:ascii="等线" w:hAnsi="等线" w:eastAsia="等线" w:cs="等线"/>
                <w:sz w:val="18"/>
                <w:szCs w:val="18"/>
              </w:rPr>
            </w:pPr>
            <w:r>
              <w:rPr>
                <w:rFonts w:hint="eastAsia" w:ascii="等线" w:hAnsi="等线" w:eastAsia="等线" w:cs="等线"/>
                <w:sz w:val="18"/>
                <w:szCs w:val="18"/>
              </w:rPr>
              <w:t>具有导航功能，便于教师和学生快速找到所需的内容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jc w:val="left"/>
              <w:rPr>
                <w:rFonts w:ascii="等线" w:hAnsi="等线" w:eastAsia="等线" w:cs="等线"/>
                <w:sz w:val="18"/>
                <w:szCs w:val="18"/>
              </w:rPr>
            </w:pPr>
            <w:r>
              <w:rPr>
                <w:rFonts w:hint="eastAsia" w:ascii="等线" w:hAnsi="等线" w:eastAsia="等线" w:cs="等线"/>
                <w:sz w:val="18"/>
                <w:szCs w:val="18"/>
              </w:rPr>
              <w:t>目录索引可方便选择关键词搜索，也可按分类目录逐层查找</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课件内容符合我国法律法规，尊重各民族的风俗习惯，版权不存在争议。若其中包含少数民族或外国语言文字信息，应遵循其原内容完整性，使用原语言进行处理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ascii="等线" w:hAnsi="等线" w:eastAsia="等线" w:cs="等线"/>
                <w:sz w:val="18"/>
                <w:szCs w:val="18"/>
              </w:rPr>
              <w:t>*.ppt、*.pptx、其他，</w:t>
            </w:r>
            <w:r>
              <w:rPr>
                <w:rFonts w:hint="eastAsia" w:ascii="等线" w:hAnsi="等线" w:eastAsia="等线" w:cs="等线"/>
                <w:sz w:val="18"/>
                <w:szCs w:val="18"/>
              </w:rPr>
              <w:t>包括但不限于PowerPoint等多媒体课件制作软件、EXE、DreamBook等富媒体课件制作软件、HTML5网页课件等</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等线" w:hAnsi="等线" w:eastAsia="等线" w:cs="等线"/>
                <w:sz w:val="18"/>
                <w:szCs w:val="18"/>
              </w:rPr>
            </w:pPr>
            <w:r>
              <w:rPr>
                <w:rFonts w:ascii="等线" w:hAnsi="等线" w:eastAsia="等线" w:cs="等线"/>
                <w:sz w:val="18"/>
                <w:szCs w:val="18"/>
              </w:rPr>
              <w:t>必选项</w:t>
            </w:r>
          </w:p>
        </w:tc>
      </w:tr>
    </w:tbl>
    <w:p>
      <w:pPr>
        <w:jc w:val="center"/>
        <w:rPr>
          <w:rFonts w:ascii="黑体" w:hAnsi="黑体" w:eastAsia="黑体" w:cs="Adobe 黑体 Std"/>
          <w:sz w:val="20"/>
          <w:szCs w:val="21"/>
        </w:rPr>
      </w:pPr>
      <w:bookmarkStart w:id="7" w:name="_Toc531773864"/>
      <w:r>
        <w:rPr>
          <w:rFonts w:ascii="黑体" w:hAnsi="黑体" w:eastAsia="黑体" w:cs="Adobe 黑体 Std"/>
          <w:sz w:val="20"/>
          <w:szCs w:val="21"/>
        </w:rPr>
        <w:t>表7 电子课件类技术要求</w:t>
      </w:r>
    </w:p>
    <w:p>
      <w:pPr>
        <w:ind w:firstLine="420"/>
        <w:rPr>
          <w:rFonts w:ascii="等线" w:hAnsi="等线" w:cs="等线"/>
        </w:rPr>
      </w:pPr>
      <w:r>
        <w:rPr>
          <w:rFonts w:ascii="等线" w:hAnsi="等线" w:cs="等线"/>
        </w:rPr>
        <w:t xml:space="preserve">8. </w:t>
      </w:r>
      <w:r>
        <w:rPr>
          <w:rFonts w:hint="eastAsia" w:ascii="等线" w:hAnsi="等线" w:cs="等线"/>
        </w:rPr>
        <w:t>网页类</w:t>
      </w:r>
      <w:bookmarkEnd w:id="7"/>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shd w:val="clear" w:color="auto" w:fill="B4C6E7"/>
            <w:vAlign w:val="center"/>
          </w:tcPr>
          <w:p>
            <w:pPr>
              <w:spacing w:line="276" w:lineRule="auto"/>
              <w:jc w:val="center"/>
              <w:rPr>
                <w:rFonts w:ascii="等线" w:hAnsi="等线" w:eastAsia="等线" w:cs="等线"/>
                <w:b/>
                <w:bCs/>
                <w:sz w:val="18"/>
                <w:szCs w:val="18"/>
                <w:highlight w:val="yellow"/>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tcPr>
          <w:p>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highlight w:val="yellow"/>
              </w:rPr>
            </w:pPr>
            <w:r>
              <w:rPr>
                <w:rFonts w:hint="eastAsia" w:ascii="等线" w:hAnsi="等线" w:eastAsia="等线" w:cs="等线"/>
                <w:sz w:val="18"/>
                <w:szCs w:val="18"/>
              </w:rPr>
              <w:t>网页目录层次清晰，命名简洁、准确、合理，使用英文或拼音作为文件名</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highlight w:val="yellow"/>
              </w:rPr>
            </w:pPr>
            <w:r>
              <w:rPr>
                <w:rFonts w:hint="eastAsia" w:ascii="等线" w:hAnsi="等线" w:eastAsia="等线" w:cs="等线"/>
                <w:sz w:val="18"/>
                <w:szCs w:val="18"/>
              </w:rPr>
              <w:t>页面上标明当前页面展示内容的标题</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每个网页内要有完整&lt;html&gt;、&lt;head&gt;、&lt;body&gt;标签，每个网页内&lt;title&gt;与&lt;/title&gt;标签之间要写明该页的标题，并且与页面上的标题一致</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网页内的所有路径写法均使用相对路径，如“images/logo.jpg”</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使用标准的网页编辑工具编辑网页，不要直接将MicrosoftWord、WPS等文件内容粘入网页文件中，避免出现大量垃圾代码</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对于背景、表格、字体、字号、字体颜色等统一使用样式表（CSS）处理，除极个别情况，不要手动指定文字样式</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不同网页的样式风格尽量一致，在背景、色调、字体、字号上不要相差太多</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每个网页在800*600分辨率下不出现横向滚动条</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如果有背景音乐，背景音乐的音量不宜过大，音乐与课件内容相符，并提供控制开关</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本身是自包含的、完整的，不含外部链接文件</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不含动态代码，不需要配置数据库就能完整浏览</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尽量不使用框架网页</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兼容MicrosoftIE、GoogleChrome、MozillaFirefox浏览器</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鼓励采用HTML5编码</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网页中所采用的媒体素材符合本标准中媒体素材资源的技术要求</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对于基于静态网页的课件，或基于</w:t>
            </w:r>
            <w:r>
              <w:rPr>
                <w:rFonts w:ascii="等线" w:hAnsi="等线" w:eastAsia="等线" w:cs="等线"/>
                <w:sz w:val="18"/>
                <w:szCs w:val="18"/>
              </w:rPr>
              <w:t>服务器解析</w:t>
            </w:r>
            <w:r>
              <w:rPr>
                <w:rFonts w:hint="eastAsia" w:ascii="等线" w:hAnsi="等线" w:eastAsia="等线" w:cs="等线"/>
                <w:sz w:val="18"/>
                <w:szCs w:val="18"/>
              </w:rPr>
              <w:t>的交互式课件，必须能通过标准Web浏览器访问</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hint="eastAsia"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276" w:lineRule="auto"/>
              <w:rPr>
                <w:rFonts w:ascii="等线" w:hAnsi="等线" w:eastAsia="等线" w:cs="等线"/>
                <w:sz w:val="18"/>
                <w:szCs w:val="18"/>
              </w:rPr>
            </w:pPr>
            <w:r>
              <w:rPr>
                <w:rFonts w:hint="eastAsia" w:ascii="等线" w:hAnsi="等线" w:eastAsia="等线" w:cs="等线"/>
                <w:sz w:val="18"/>
                <w:szCs w:val="18"/>
              </w:rPr>
              <w:t>网页源文件，包括HTML5和HTML4，可在线浏览</w:t>
            </w:r>
          </w:p>
        </w:tc>
        <w:tc>
          <w:tcPr>
            <w:tcW w:w="850" w:type="dxa"/>
            <w:tcBorders>
              <w:top w:val="single" w:color="auto" w:sz="4" w:space="0"/>
              <w:left w:val="single" w:color="auto" w:sz="4" w:space="0"/>
              <w:bottom w:val="single" w:color="auto" w:sz="4" w:space="0"/>
              <w:right w:val="single" w:color="auto" w:sz="4" w:space="0"/>
            </w:tcBorders>
            <w:vAlign w:val="center"/>
          </w:tcPr>
          <w:p>
            <w:pPr>
              <w:pStyle w:val="11"/>
              <w:spacing w:line="276" w:lineRule="auto"/>
              <w:ind w:firstLine="0" w:firstLineChars="0"/>
              <w:jc w:val="center"/>
              <w:rPr>
                <w:rFonts w:cs="等线"/>
                <w:sz w:val="18"/>
                <w:szCs w:val="18"/>
              </w:rPr>
            </w:pPr>
            <w:r>
              <w:rPr>
                <w:rFonts w:cs="等线"/>
                <w:sz w:val="18"/>
                <w:szCs w:val="18"/>
              </w:rPr>
              <w:t>必选项</w:t>
            </w:r>
          </w:p>
        </w:tc>
      </w:tr>
    </w:tbl>
    <w:p>
      <w:pPr>
        <w:jc w:val="center"/>
        <w:rPr>
          <w:rFonts w:ascii="黑体" w:hAnsi="黑体" w:eastAsia="黑体" w:cs="Adobe 黑体 Std"/>
          <w:sz w:val="20"/>
          <w:szCs w:val="21"/>
        </w:rPr>
      </w:pPr>
      <w:bookmarkStart w:id="8" w:name="_Toc531773865"/>
      <w:r>
        <w:rPr>
          <w:rFonts w:ascii="黑体" w:hAnsi="黑体" w:eastAsia="黑体" w:cs="Adobe 黑体 Std"/>
          <w:sz w:val="20"/>
          <w:szCs w:val="21"/>
        </w:rPr>
        <w:t>表8 网页类文件技术要求</w:t>
      </w:r>
    </w:p>
    <w:p>
      <w:pPr>
        <w:spacing w:line="560" w:lineRule="exact"/>
        <w:ind w:firstLine="420"/>
        <w:rPr>
          <w:rFonts w:ascii="等线" w:hAnsi="等线" w:cs="等线"/>
        </w:rPr>
      </w:pPr>
      <w:r>
        <w:rPr>
          <w:rFonts w:ascii="等线" w:hAnsi="等线" w:cs="等线"/>
        </w:rPr>
        <w:t xml:space="preserve">9. </w:t>
      </w:r>
      <w:r>
        <w:rPr>
          <w:rFonts w:hint="eastAsia" w:ascii="等线" w:hAnsi="等线" w:cs="等线"/>
        </w:rPr>
        <w:t>电子图书/教材</w:t>
      </w:r>
      <w:bookmarkEnd w:id="8"/>
      <w:r>
        <w:rPr>
          <w:rFonts w:hint="eastAsia" w:ascii="等线" w:hAnsi="等线" w:cs="等线"/>
        </w:rPr>
        <w:t>类</w:t>
      </w:r>
    </w:p>
    <w:p>
      <w:pPr>
        <w:pStyle w:val="11"/>
        <w:spacing w:line="560" w:lineRule="exact"/>
        <w:rPr>
          <w:rFonts w:cs="等线"/>
        </w:rPr>
      </w:pPr>
      <w:r>
        <w:rPr>
          <w:rFonts w:hint="eastAsia" w:cs="等线"/>
        </w:rPr>
        <w:t>电子图书是在电脑或者其他电子设备上阅读的数字产品，内容以文本、图像、音频、视频、动画和可交互程序等方式呈现，版式、篇幅与纸质图书相当，可通过互联网、PC、移动设备等发布。电子教材是一类遵循学习规律、利于组织学习活动、符合课程目标要求、按图书风格编排的电子图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shd w:val="clear" w:color="auto" w:fill="B4C6E7"/>
            <w:vAlign w:val="center"/>
          </w:tcPr>
          <w:p>
            <w:pPr>
              <w:spacing w:line="276" w:lineRule="auto"/>
              <w:jc w:val="center"/>
              <w:rPr>
                <w:rFonts w:ascii="宋体" w:hAnsi="宋体" w:eastAsia="等线"/>
                <w:b/>
                <w:bCs/>
                <w:sz w:val="18"/>
                <w:szCs w:val="18"/>
                <w:highlight w:val="yellow"/>
              </w:rPr>
            </w:pPr>
            <w:r>
              <w:rPr>
                <w:rFonts w:hint="eastAsia" w:ascii="宋体" w:hAnsi="宋体" w:eastAsia="等线"/>
                <w:b/>
                <w:bCs/>
                <w:sz w:val="18"/>
                <w:szCs w:val="18"/>
              </w:rPr>
              <w:t>技术要求</w:t>
            </w:r>
          </w:p>
        </w:tc>
        <w:tc>
          <w:tcPr>
            <w:tcW w:w="850" w:type="dxa"/>
            <w:shd w:val="clear" w:color="auto" w:fill="B4C6E7"/>
          </w:tcPr>
          <w:p>
            <w:pPr>
              <w:spacing w:line="276" w:lineRule="auto"/>
              <w:jc w:val="center"/>
              <w:rPr>
                <w:rFonts w:eastAsia="等线"/>
                <w:b/>
                <w:bCs/>
                <w:sz w:val="18"/>
                <w:szCs w:val="18"/>
              </w:rPr>
            </w:pPr>
            <w:r>
              <w:rPr>
                <w:rFonts w:hint="eastAsia" w:eastAsia="等线"/>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highlight w:val="yellow"/>
              </w:rPr>
            </w:pPr>
            <w:r>
              <w:rPr>
                <w:rFonts w:hint="eastAsia" w:ascii="等线" w:hAnsi="等线" w:eastAsia="等线" w:cs="等线"/>
                <w:sz w:val="18"/>
                <w:szCs w:val="18"/>
              </w:rPr>
              <w:t>若包含少数民族语言或外国语言文字信息，应遵循其原内容完整性，使用原语言进行处理</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5" w:type="dxa"/>
          </w:tcPr>
          <w:p>
            <w:pPr>
              <w:spacing w:line="276" w:lineRule="auto"/>
              <w:rPr>
                <w:rFonts w:ascii="等线" w:hAnsi="等线" w:eastAsia="等线" w:cs="等线"/>
                <w:sz w:val="18"/>
                <w:szCs w:val="18"/>
                <w:highlight w:val="yellow"/>
              </w:rPr>
            </w:pPr>
            <w:r>
              <w:rPr>
                <w:rFonts w:hint="eastAsia" w:ascii="等线" w:hAnsi="等线" w:eastAsia="等线" w:cs="等线"/>
                <w:sz w:val="18"/>
                <w:szCs w:val="18"/>
              </w:rPr>
              <w:t>内容符合我国法律法规要求，尊重各民族的风俗和生活习惯，版权不存在争议</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结构完整，正文部分可按章节划分，辅文至少包含封面、目录和版权页等</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目录有超链接，能实现快速定位</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封面或插页图像，建议格式为*.jpg、*.bmp、*.png或*.psd</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行间距建议为1.5倍</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版权页至少包含作者、书名、书号、定价、出版社等信息，提供超链接，</w:t>
            </w:r>
            <w:r>
              <w:rPr>
                <w:rFonts w:ascii="等线" w:hAnsi="等线" w:eastAsia="等线" w:cs="等线"/>
                <w:sz w:val="18"/>
                <w:szCs w:val="18"/>
              </w:rPr>
              <w:t>便于</w:t>
            </w:r>
            <w:r>
              <w:rPr>
                <w:rFonts w:hint="eastAsia" w:ascii="等线" w:hAnsi="等线" w:eastAsia="等线" w:cs="等线"/>
                <w:sz w:val="18"/>
                <w:szCs w:val="18"/>
              </w:rPr>
              <w:t>查看相关信息</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pPr>
              <w:spacing w:line="276" w:lineRule="auto"/>
              <w:rPr>
                <w:rFonts w:ascii="等线" w:hAnsi="等线" w:eastAsia="等线" w:cs="等线"/>
                <w:sz w:val="18"/>
                <w:szCs w:val="18"/>
              </w:rPr>
            </w:pPr>
            <w:r>
              <w:rPr>
                <w:rFonts w:hint="eastAsia" w:ascii="等线" w:hAnsi="等线" w:eastAsia="等线" w:cs="等线"/>
                <w:sz w:val="18"/>
                <w:szCs w:val="18"/>
              </w:rPr>
              <w:t>如果是面向iPad或者iPhone等，在排版时应考虑终端的特点，符合用户的阅读习惯</w:t>
            </w:r>
          </w:p>
        </w:tc>
        <w:tc>
          <w:tcPr>
            <w:tcW w:w="850" w:type="dxa"/>
            <w:vAlign w:val="center"/>
          </w:tcPr>
          <w:p>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pPr>
        <w:jc w:val="center"/>
        <w:rPr>
          <w:rFonts w:ascii="黑体" w:hAnsi="黑体" w:eastAsia="黑体" w:cs="Adobe 黑体 Std"/>
          <w:sz w:val="20"/>
          <w:szCs w:val="21"/>
        </w:rPr>
      </w:pPr>
      <w:r>
        <w:rPr>
          <w:rFonts w:ascii="黑体" w:hAnsi="黑体" w:eastAsia="黑体" w:cs="Adobe 黑体 Std"/>
          <w:sz w:val="20"/>
          <w:szCs w:val="21"/>
        </w:rPr>
        <w:t>表9 电子图书的设计与开发要求</w:t>
      </w:r>
    </w:p>
    <w:p/>
    <w:p/>
    <w:p/>
    <w:sectPr>
      <w:footerReference r:id="rId3" w:type="default"/>
      <w:footerReference r:id="rId4" w:type="even"/>
      <w:pgSz w:w="11906" w:h="16838"/>
      <w:pgMar w:top="2098" w:right="1508" w:bottom="1714" w:left="1520" w:header="851" w:footer="1418"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黑体 Std">
    <w:altName w:val="黑体"/>
    <w:panose1 w:val="00000000000000000000"/>
    <w:charset w:val="00"/>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10</w:t>
    </w:r>
    <w:r>
      <w:rPr>
        <w:rFonts w:ascii="宋体" w:hAnsi="宋体"/>
        <w:sz w:val="28"/>
      </w:rPr>
      <w:fldChar w:fldCharType="end"/>
    </w:r>
    <w:r>
      <w:rPr>
        <w:rStyle w:val="7"/>
        <w:rFonts w:hint="eastAsia" w:ascii="宋体" w:hAnsi="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2YWJmNmE0Y2U4YzBiMTA3ZTE0YjFiNTQwMjg3MzMifQ=="/>
  </w:docVars>
  <w:rsids>
    <w:rsidRoot w:val="003E4FE3"/>
    <w:rsid w:val="003E4FE3"/>
    <w:rsid w:val="00791146"/>
    <w:rsid w:val="008A12BF"/>
    <w:rsid w:val="00AF288E"/>
    <w:rsid w:val="00C12BEA"/>
    <w:rsid w:val="7785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rFonts w:ascii="Calibri" w:hAnsi="Calibri"/>
      <w:sz w:val="18"/>
      <w:szCs w:val="22"/>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customStyle="1" w:styleId="8">
    <w:name w:val="标题 1 Char"/>
    <w:basedOn w:val="6"/>
    <w:link w:val="2"/>
    <w:uiPriority w:val="9"/>
    <w:rPr>
      <w:rFonts w:ascii="Times New Roman" w:hAnsi="Times New Roman" w:eastAsia="宋体" w:cs="Times New Roman"/>
      <w:b/>
      <w:bCs/>
      <w:kern w:val="44"/>
      <w:sz w:val="44"/>
      <w:szCs w:val="44"/>
    </w:rPr>
  </w:style>
  <w:style w:type="character" w:customStyle="1" w:styleId="9">
    <w:name w:val="页脚 Char"/>
    <w:basedOn w:val="6"/>
    <w:link w:val="3"/>
    <w:uiPriority w:val="99"/>
    <w:rPr>
      <w:rFonts w:ascii="Calibri" w:hAnsi="Calibri" w:eastAsia="宋体" w:cs="Times New Roman"/>
      <w:sz w:val="18"/>
    </w:rPr>
  </w:style>
  <w:style w:type="paragraph" w:customStyle="1" w:styleId="10">
    <w:name w:val="列出段落3"/>
    <w:basedOn w:val="1"/>
    <w:qFormat/>
    <w:uiPriority w:val="99"/>
    <w:pPr>
      <w:spacing w:line="360" w:lineRule="auto"/>
      <w:ind w:firstLine="420" w:firstLineChars="200"/>
    </w:pPr>
    <w:rPr>
      <w:rFonts w:ascii="等线" w:hAnsi="等线" w:eastAsia="等线"/>
      <w:szCs w:val="22"/>
    </w:rPr>
  </w:style>
  <w:style w:type="paragraph" w:customStyle="1" w:styleId="11">
    <w:name w:val="列出段落2"/>
    <w:basedOn w:val="1"/>
    <w:qFormat/>
    <w:uiPriority w:val="34"/>
    <w:pPr>
      <w:spacing w:line="360" w:lineRule="auto"/>
      <w:ind w:firstLine="420" w:firstLineChars="200"/>
    </w:pPr>
    <w:rPr>
      <w:rFonts w:ascii="等线" w:hAnsi="等线" w:eastAsia="等线"/>
      <w:szCs w:val="22"/>
    </w:rPr>
  </w:style>
  <w:style w:type="character" w:customStyle="1" w:styleId="12">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4873</Words>
  <Characters>5326</Characters>
  <Lines>41</Lines>
  <Paragraphs>11</Paragraphs>
  <TotalTime>0</TotalTime>
  <ScaleCrop>false</ScaleCrop>
  <LinksUpToDate>false</LinksUpToDate>
  <CharactersWithSpaces>5347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2021-10-21T14:26:00Z</dcterms:created>
  <dc:creator>sppc</dc:creator>
  <cp:lastModifiedBy>姜姜 ^o^ </cp:lastModifiedBy>
  <dcterms:modified xsi:type="dcterms:W3CDTF">2022-07-21T07:02:51Z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CD9466EF66DE466C88B733EA322ED669</vt:lpwstr>
  </property>
</Properties>
</file>